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7B2" w:rsidRPr="0009561A" w:rsidRDefault="003D0869" w:rsidP="00314294">
      <w:pPr>
        <w:pStyle w:val="a4"/>
        <w:shd w:val="clear" w:color="auto" w:fill="BDD6EE" w:themeFill="accent1" w:themeFillTint="66"/>
        <w:jc w:val="center"/>
        <w:rPr>
          <w:rFonts w:ascii="Calibri" w:hAnsi="Calibri" w:cs="Calibri"/>
          <w:b/>
          <w:sz w:val="32"/>
          <w:szCs w:val="32"/>
          <w:lang w:val="en-US"/>
        </w:rPr>
      </w:pPr>
      <w:r w:rsidRPr="003D0869">
        <w:rPr>
          <w:rFonts w:ascii="Calibri" w:hAnsi="Calibri" w:cs="Calibri"/>
          <w:b/>
          <w:noProof/>
          <w:sz w:val="32"/>
          <w:szCs w:val="32"/>
          <w:lang w:eastAsia="ru-RU"/>
        </w:rPr>
        <w:drawing>
          <wp:inline distT="0" distB="0" distL="0" distR="0">
            <wp:extent cx="5760720" cy="556331"/>
            <wp:effectExtent l="19050" t="0" r="0" b="0"/>
            <wp:docPr id="1" name="Рисунок 1" descr="EaPTC_Header_A4"/>
            <wp:cNvGraphicFramePr/>
            <a:graphic xmlns:a="http://schemas.openxmlformats.org/drawingml/2006/main">
              <a:graphicData uri="http://schemas.openxmlformats.org/drawingml/2006/picture">
                <pic:pic xmlns:pic="http://schemas.openxmlformats.org/drawingml/2006/picture">
                  <pic:nvPicPr>
                    <pic:cNvPr id="0" name="Picture 1" descr="EaPTC_Header_A4"/>
                    <pic:cNvPicPr>
                      <a:picLocks noChangeAspect="1" noChangeArrowheads="1"/>
                    </pic:cNvPicPr>
                  </pic:nvPicPr>
                  <pic:blipFill>
                    <a:blip r:embed="rId8" cstate="print"/>
                    <a:srcRect/>
                    <a:stretch>
                      <a:fillRect/>
                    </a:stretch>
                  </pic:blipFill>
                  <pic:spPr bwMode="auto">
                    <a:xfrm>
                      <a:off x="0" y="0"/>
                      <a:ext cx="5760720" cy="556331"/>
                    </a:xfrm>
                    <a:prstGeom prst="rect">
                      <a:avLst/>
                    </a:prstGeom>
                    <a:noFill/>
                    <a:ln w="9525">
                      <a:noFill/>
                      <a:miter lim="800000"/>
                      <a:headEnd/>
                      <a:tailEnd/>
                    </a:ln>
                  </pic:spPr>
                </pic:pic>
              </a:graphicData>
            </a:graphic>
          </wp:inline>
        </w:drawing>
      </w:r>
      <w:r w:rsidR="005B57B2" w:rsidRPr="0009561A">
        <w:rPr>
          <w:rFonts w:ascii="Calibri" w:hAnsi="Calibri" w:cs="Calibri"/>
          <w:b/>
          <w:sz w:val="32"/>
          <w:szCs w:val="32"/>
          <w:lang w:val="en-US"/>
        </w:rPr>
        <w:t>INSTRUCTIONS TO TENDERERS</w:t>
      </w:r>
    </w:p>
    <w:p w:rsidR="00314294" w:rsidRPr="0009561A" w:rsidRDefault="00314294" w:rsidP="000B1A1A">
      <w:pPr>
        <w:pStyle w:val="ab"/>
        <w:spacing w:after="240"/>
        <w:rPr>
          <w:rFonts w:ascii="Calibri" w:hAnsi="Calibri" w:cs="Calibri"/>
          <w:szCs w:val="24"/>
          <w:lang w:val="en-GB"/>
        </w:rPr>
      </w:pPr>
    </w:p>
    <w:p w:rsidR="007E77F3" w:rsidRPr="0009561A" w:rsidRDefault="000B1A1A" w:rsidP="000B1A1A">
      <w:pPr>
        <w:pStyle w:val="ab"/>
        <w:spacing w:after="240"/>
        <w:rPr>
          <w:rStyle w:val="af1"/>
          <w:rFonts w:ascii="Calibri" w:hAnsi="Calibri" w:cs="Calibri"/>
          <w:b/>
          <w:szCs w:val="24"/>
          <w:lang w:val="en-GB"/>
        </w:rPr>
      </w:pPr>
      <w:r w:rsidRPr="0009561A">
        <w:rPr>
          <w:rFonts w:ascii="Calibri" w:hAnsi="Calibri" w:cs="Calibri"/>
          <w:szCs w:val="24"/>
          <w:lang w:val="en-GB"/>
        </w:rPr>
        <w:t xml:space="preserve">REFERENCE: </w:t>
      </w:r>
      <w:r w:rsidR="00D56EFE" w:rsidRPr="0009561A">
        <w:rPr>
          <w:rFonts w:ascii="Calibri" w:hAnsi="Calibri" w:cs="Calibri"/>
          <w:szCs w:val="24"/>
          <w:lang w:val="en-GB"/>
        </w:rPr>
        <w:t>P - 1</w:t>
      </w:r>
      <w:r w:rsidR="007E77F3" w:rsidRPr="0009561A">
        <w:rPr>
          <w:rFonts w:ascii="Calibri" w:hAnsi="Calibri" w:cs="Calibri"/>
          <w:szCs w:val="24"/>
          <w:lang w:val="en-GB"/>
        </w:rPr>
        <w:t>,</w:t>
      </w:r>
      <w:r w:rsidR="00D56EFE" w:rsidRPr="0009561A">
        <w:rPr>
          <w:rFonts w:ascii="Calibri" w:hAnsi="Calibri" w:cs="Calibri"/>
          <w:szCs w:val="24"/>
          <w:lang w:val="en-GB"/>
        </w:rPr>
        <w:t xml:space="preserve"> </w:t>
      </w:r>
      <w:bookmarkStart w:id="0" w:name="_GoBack"/>
      <w:bookmarkEnd w:id="0"/>
      <w:r w:rsidR="003D0869">
        <w:rPr>
          <w:rFonts w:ascii="Calibri" w:hAnsi="Calibri" w:cs="Calibri"/>
          <w:lang w:val="en-US"/>
        </w:rPr>
        <w:t>Informational campaign</w:t>
      </w:r>
      <w:r w:rsidR="0009561A" w:rsidRPr="0009561A">
        <w:rPr>
          <w:rFonts w:ascii="Calibri" w:hAnsi="Calibri" w:cs="Calibri"/>
          <w:lang w:val="en-US"/>
        </w:rPr>
        <w:t>, 83285715</w:t>
      </w:r>
    </w:p>
    <w:p w:rsidR="005B57B2" w:rsidRPr="0009561A" w:rsidRDefault="005B57B2" w:rsidP="00314294">
      <w:pPr>
        <w:pStyle w:val="ab"/>
        <w:pBdr>
          <w:top w:val="single" w:sz="4" w:space="1" w:color="auto"/>
          <w:left w:val="single" w:sz="4" w:space="4" w:color="auto"/>
          <w:bottom w:val="single" w:sz="4" w:space="1" w:color="auto"/>
          <w:right w:val="single" w:sz="4" w:space="4" w:color="auto"/>
        </w:pBdr>
        <w:shd w:val="clear" w:color="auto" w:fill="BDD6EE" w:themeFill="accent1" w:themeFillTint="66"/>
        <w:spacing w:after="240"/>
        <w:jc w:val="both"/>
        <w:rPr>
          <w:rFonts w:ascii="Calibri" w:hAnsi="Calibri" w:cs="Calibri"/>
          <w:sz w:val="22"/>
          <w:szCs w:val="22"/>
          <w:lang w:val="en-GB"/>
        </w:rPr>
      </w:pPr>
      <w:r w:rsidRPr="0009561A">
        <w:rPr>
          <w:rFonts w:ascii="Calibri" w:hAnsi="Calibri" w:cs="Calibri"/>
          <w:sz w:val="22"/>
          <w:szCs w:val="22"/>
          <w:lang w:val="en-GB"/>
        </w:rPr>
        <w:t>When submitting their tenders, tenderers must follow all instructions, forms, terms of reference, contract provisions and specifications contained in this tender dossier. Failure to submit a tender containing all the required information and documentation within the deadline specified may lead to the rejection of the tender.</w:t>
      </w:r>
    </w:p>
    <w:p w:rsidR="005B57B2" w:rsidRPr="0009561A" w:rsidRDefault="005B57B2" w:rsidP="00314294">
      <w:pPr>
        <w:pStyle w:val="ab"/>
        <w:pBdr>
          <w:top w:val="single" w:sz="4" w:space="1" w:color="auto"/>
          <w:left w:val="single" w:sz="4" w:space="4" w:color="auto"/>
          <w:bottom w:val="single" w:sz="4" w:space="1" w:color="auto"/>
          <w:right w:val="single" w:sz="4" w:space="4" w:color="auto"/>
        </w:pBdr>
        <w:shd w:val="clear" w:color="auto" w:fill="BDD6EE" w:themeFill="accent1" w:themeFillTint="66"/>
        <w:spacing w:after="240"/>
        <w:jc w:val="both"/>
        <w:rPr>
          <w:rFonts w:ascii="Calibri" w:hAnsi="Calibri" w:cs="Calibri"/>
          <w:sz w:val="22"/>
          <w:szCs w:val="22"/>
          <w:lang w:val="en-GB"/>
        </w:rPr>
      </w:pPr>
      <w:r w:rsidRPr="0009561A">
        <w:rPr>
          <w:rFonts w:ascii="Calibri" w:hAnsi="Calibri" w:cs="Calibri"/>
          <w:sz w:val="22"/>
          <w:szCs w:val="22"/>
          <w:lang w:val="en-GB"/>
        </w:rPr>
        <w:t xml:space="preserve">These instructions set out the rules for submitting, selecting and implementing contracts financed under this call for tenders, in conformity with the Practical Guide, (available on the internet at this address: </w:t>
      </w:r>
      <w:hyperlink r:id="rId9" w:history="1">
        <w:r w:rsidRPr="0009561A">
          <w:rPr>
            <w:rStyle w:val="aa"/>
            <w:rFonts w:ascii="Calibri" w:hAnsi="Calibri" w:cs="Calibri"/>
            <w:sz w:val="22"/>
            <w:szCs w:val="22"/>
          </w:rPr>
          <w:t>http://ec.europa.eu/europeaid/prag/document.do</w:t>
        </w:r>
      </w:hyperlink>
      <w:r w:rsidRPr="0009561A">
        <w:rPr>
          <w:rFonts w:ascii="Calibri" w:hAnsi="Calibri" w:cs="Calibri"/>
          <w:sz w:val="22"/>
          <w:szCs w:val="22"/>
          <w:lang w:val="en-GB"/>
        </w:rPr>
        <w:t xml:space="preserve"> ). </w:t>
      </w:r>
    </w:p>
    <w:p w:rsidR="005B57B2" w:rsidRPr="0009561A" w:rsidRDefault="005B57B2" w:rsidP="005B57B2">
      <w:pPr>
        <w:keepNext/>
        <w:numPr>
          <w:ilvl w:val="0"/>
          <w:numId w:val="4"/>
        </w:numPr>
        <w:spacing w:before="120" w:after="120" w:line="240" w:lineRule="auto"/>
        <w:jc w:val="both"/>
        <w:rPr>
          <w:rFonts w:ascii="Calibri" w:hAnsi="Calibri" w:cs="Calibri"/>
          <w:b/>
          <w:sz w:val="24"/>
          <w:szCs w:val="24"/>
        </w:rPr>
      </w:pPr>
      <w:r w:rsidRPr="0009561A">
        <w:rPr>
          <w:rFonts w:ascii="Calibri" w:hAnsi="Calibri" w:cs="Calibri"/>
          <w:b/>
          <w:sz w:val="24"/>
          <w:szCs w:val="24"/>
        </w:rPr>
        <w:t>Services to be provided</w:t>
      </w:r>
    </w:p>
    <w:p w:rsidR="005B57B2" w:rsidRPr="0009561A" w:rsidRDefault="005B57B2" w:rsidP="005B57B2">
      <w:pPr>
        <w:spacing w:after="120"/>
        <w:jc w:val="both"/>
        <w:rPr>
          <w:rFonts w:ascii="Calibri" w:hAnsi="Calibri" w:cs="Calibri"/>
          <w:lang w:val="en-US"/>
        </w:rPr>
      </w:pPr>
      <w:r w:rsidRPr="0009561A">
        <w:rPr>
          <w:rFonts w:ascii="Calibri" w:hAnsi="Calibri" w:cs="Calibri"/>
          <w:lang w:val="en-US"/>
        </w:rPr>
        <w:t>The services required by the Contracting Authority are described in the Terms of Reference. They are set out in Annex II to the draft contract, which forms Part B of this tender dossier.</w:t>
      </w:r>
    </w:p>
    <w:p w:rsidR="005B57B2" w:rsidRPr="0009561A" w:rsidRDefault="005B57B2" w:rsidP="005B57B2">
      <w:pPr>
        <w:keepNext/>
        <w:numPr>
          <w:ilvl w:val="0"/>
          <w:numId w:val="4"/>
        </w:numPr>
        <w:spacing w:before="120" w:after="120" w:line="240" w:lineRule="auto"/>
        <w:jc w:val="both"/>
        <w:rPr>
          <w:rFonts w:ascii="Calibri" w:hAnsi="Calibri" w:cs="Calibri"/>
          <w:b/>
          <w:sz w:val="24"/>
          <w:szCs w:val="24"/>
        </w:rPr>
      </w:pPr>
      <w:bookmarkStart w:id="1" w:name="_Ref499723935"/>
      <w:proofErr w:type="spellStart"/>
      <w:r w:rsidRPr="0009561A">
        <w:rPr>
          <w:rFonts w:ascii="Calibri" w:hAnsi="Calibri" w:cs="Calibri"/>
          <w:b/>
          <w:sz w:val="24"/>
          <w:szCs w:val="24"/>
        </w:rPr>
        <w:t>Timetable</w:t>
      </w:r>
      <w:bookmarkEnd w:id="1"/>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1972"/>
        <w:gridCol w:w="1572"/>
      </w:tblGrid>
      <w:tr w:rsidR="0009561A" w:rsidRPr="0009561A" w:rsidTr="00E16DA3">
        <w:tc>
          <w:tcPr>
            <w:tcW w:w="4820" w:type="dxa"/>
            <w:tcBorders>
              <w:top w:val="single" w:sz="4" w:space="0" w:color="auto"/>
              <w:left w:val="single" w:sz="4" w:space="0" w:color="auto"/>
              <w:bottom w:val="nil"/>
              <w:right w:val="single" w:sz="4" w:space="0" w:color="auto"/>
            </w:tcBorders>
          </w:tcPr>
          <w:p w:rsidR="0009561A" w:rsidRPr="0009561A" w:rsidRDefault="0009561A" w:rsidP="00E16DA3">
            <w:pPr>
              <w:spacing w:line="256" w:lineRule="auto"/>
              <w:rPr>
                <w:rFonts w:ascii="Calibri" w:hAnsi="Calibri" w:cs="Calibri"/>
              </w:rPr>
            </w:pPr>
          </w:p>
        </w:tc>
        <w:tc>
          <w:tcPr>
            <w:tcW w:w="1972" w:type="dxa"/>
            <w:tcBorders>
              <w:top w:val="single" w:sz="4" w:space="0" w:color="auto"/>
              <w:left w:val="single" w:sz="4" w:space="0" w:color="auto"/>
              <w:bottom w:val="single" w:sz="4" w:space="0" w:color="auto"/>
              <w:right w:val="single" w:sz="4" w:space="0" w:color="auto"/>
            </w:tcBorders>
            <w:shd w:val="pct10" w:color="auto" w:fill="FFFFFF"/>
            <w:hideMark/>
          </w:tcPr>
          <w:p w:rsidR="0009561A" w:rsidRPr="0009561A" w:rsidRDefault="0009561A" w:rsidP="00E16DA3">
            <w:pPr>
              <w:spacing w:line="256" w:lineRule="auto"/>
              <w:jc w:val="center"/>
              <w:rPr>
                <w:rFonts w:ascii="Calibri" w:hAnsi="Calibri" w:cs="Calibri"/>
                <w:b/>
              </w:rPr>
            </w:pPr>
            <w:r w:rsidRPr="0009561A">
              <w:rPr>
                <w:rFonts w:ascii="Calibri" w:hAnsi="Calibri" w:cs="Calibri"/>
                <w:b/>
              </w:rPr>
              <w:t>DATE</w:t>
            </w:r>
          </w:p>
        </w:tc>
        <w:tc>
          <w:tcPr>
            <w:tcW w:w="1572" w:type="dxa"/>
            <w:tcBorders>
              <w:top w:val="single" w:sz="4" w:space="0" w:color="auto"/>
              <w:left w:val="single" w:sz="4" w:space="0" w:color="auto"/>
              <w:bottom w:val="nil"/>
              <w:right w:val="single" w:sz="4" w:space="0" w:color="auto"/>
            </w:tcBorders>
            <w:shd w:val="pct10" w:color="auto" w:fill="FFFFFF"/>
            <w:hideMark/>
          </w:tcPr>
          <w:p w:rsidR="0009561A" w:rsidRPr="0009561A" w:rsidRDefault="0009561A" w:rsidP="00E16DA3">
            <w:pPr>
              <w:spacing w:line="256" w:lineRule="auto"/>
              <w:jc w:val="center"/>
              <w:rPr>
                <w:rFonts w:ascii="Calibri" w:hAnsi="Calibri" w:cs="Calibri"/>
                <w:b/>
              </w:rPr>
            </w:pPr>
            <w:r w:rsidRPr="0009561A">
              <w:rPr>
                <w:rFonts w:ascii="Calibri" w:hAnsi="Calibri" w:cs="Calibri"/>
                <w:b/>
              </w:rPr>
              <w:t>TIME*</w:t>
            </w:r>
          </w:p>
        </w:tc>
      </w:tr>
      <w:tr w:rsidR="0009561A" w:rsidRPr="0009561A" w:rsidTr="00E16DA3">
        <w:tc>
          <w:tcPr>
            <w:tcW w:w="4820" w:type="dxa"/>
            <w:tcBorders>
              <w:top w:val="single" w:sz="4" w:space="0" w:color="auto"/>
              <w:left w:val="single" w:sz="4" w:space="0" w:color="auto"/>
              <w:bottom w:val="single" w:sz="4" w:space="0" w:color="auto"/>
              <w:right w:val="single" w:sz="4" w:space="0" w:color="auto"/>
            </w:tcBorders>
            <w:shd w:val="pct10" w:color="auto" w:fill="FFFFFF"/>
            <w:hideMark/>
          </w:tcPr>
          <w:p w:rsidR="0009561A" w:rsidRPr="0009561A" w:rsidRDefault="0009561A" w:rsidP="00E16DA3">
            <w:pPr>
              <w:spacing w:before="120" w:after="120" w:line="256" w:lineRule="auto"/>
              <w:rPr>
                <w:rFonts w:ascii="Calibri" w:hAnsi="Calibri" w:cs="Calibri"/>
                <w:b/>
                <w:lang w:val="en-US"/>
              </w:rPr>
            </w:pPr>
            <w:r w:rsidRPr="0009561A">
              <w:rPr>
                <w:rFonts w:ascii="Calibri" w:hAnsi="Calibri" w:cs="Calibri"/>
                <w:b/>
                <w:lang w:val="en-US"/>
              </w:rPr>
              <w:t>Deadline for requesting clarification from the Contracting Authority</w:t>
            </w:r>
          </w:p>
        </w:tc>
        <w:tc>
          <w:tcPr>
            <w:tcW w:w="19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03.05.2018</w:t>
            </w:r>
          </w:p>
        </w:tc>
        <w:tc>
          <w:tcPr>
            <w:tcW w:w="15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16.00</w:t>
            </w:r>
          </w:p>
        </w:tc>
      </w:tr>
      <w:tr w:rsidR="0009561A" w:rsidRPr="0009561A" w:rsidTr="00E16DA3">
        <w:tc>
          <w:tcPr>
            <w:tcW w:w="4820" w:type="dxa"/>
            <w:tcBorders>
              <w:top w:val="single" w:sz="4" w:space="0" w:color="auto"/>
              <w:left w:val="single" w:sz="4" w:space="0" w:color="auto"/>
              <w:bottom w:val="single" w:sz="4" w:space="0" w:color="auto"/>
              <w:right w:val="single" w:sz="4" w:space="0" w:color="auto"/>
            </w:tcBorders>
            <w:shd w:val="pct10" w:color="auto" w:fill="FFFFFF"/>
            <w:hideMark/>
          </w:tcPr>
          <w:p w:rsidR="0009561A" w:rsidRPr="0009561A" w:rsidRDefault="0009561A" w:rsidP="00E16DA3">
            <w:pPr>
              <w:spacing w:before="120" w:after="120" w:line="256" w:lineRule="auto"/>
              <w:rPr>
                <w:rFonts w:ascii="Calibri" w:hAnsi="Calibri" w:cs="Calibri"/>
                <w:b/>
                <w:lang w:val="en-US"/>
              </w:rPr>
            </w:pPr>
            <w:r w:rsidRPr="0009561A">
              <w:rPr>
                <w:rFonts w:ascii="Calibri" w:hAnsi="Calibri" w:cs="Calibri"/>
                <w:b/>
                <w:lang w:val="en-US"/>
              </w:rPr>
              <w:t xml:space="preserve">Last date for the Contracting Authority to issue clarification </w:t>
            </w:r>
          </w:p>
        </w:tc>
        <w:tc>
          <w:tcPr>
            <w:tcW w:w="19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04.05.2018</w:t>
            </w:r>
          </w:p>
        </w:tc>
        <w:tc>
          <w:tcPr>
            <w:tcW w:w="15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16.00</w:t>
            </w:r>
          </w:p>
        </w:tc>
      </w:tr>
      <w:tr w:rsidR="0009561A" w:rsidRPr="0009561A" w:rsidTr="00E16DA3">
        <w:tc>
          <w:tcPr>
            <w:tcW w:w="4820" w:type="dxa"/>
            <w:tcBorders>
              <w:top w:val="single" w:sz="4" w:space="0" w:color="auto"/>
              <w:left w:val="single" w:sz="4" w:space="0" w:color="auto"/>
              <w:bottom w:val="single" w:sz="4" w:space="0" w:color="auto"/>
              <w:right w:val="single" w:sz="4" w:space="0" w:color="auto"/>
            </w:tcBorders>
            <w:shd w:val="pct10" w:color="auto" w:fill="FFFFFF"/>
            <w:hideMark/>
          </w:tcPr>
          <w:p w:rsidR="0009561A" w:rsidRPr="0009561A" w:rsidRDefault="0009561A" w:rsidP="00E16DA3">
            <w:pPr>
              <w:spacing w:before="120" w:after="120" w:line="256" w:lineRule="auto"/>
              <w:rPr>
                <w:rFonts w:ascii="Calibri" w:hAnsi="Calibri" w:cs="Calibri"/>
                <w:b/>
                <w:lang w:val="en-US"/>
              </w:rPr>
            </w:pPr>
            <w:r w:rsidRPr="0009561A">
              <w:rPr>
                <w:rFonts w:ascii="Calibri" w:hAnsi="Calibri" w:cs="Calibri"/>
                <w:b/>
                <w:lang w:val="en-US"/>
              </w:rPr>
              <w:t>Deadline for submitting tenders</w:t>
            </w:r>
          </w:p>
        </w:tc>
        <w:tc>
          <w:tcPr>
            <w:tcW w:w="19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10.05.2018</w:t>
            </w:r>
          </w:p>
        </w:tc>
        <w:tc>
          <w:tcPr>
            <w:tcW w:w="15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1</w:t>
            </w:r>
            <w:r w:rsidRPr="0009561A">
              <w:rPr>
                <w:rFonts w:ascii="Calibri" w:hAnsi="Calibri" w:cs="Calibri"/>
                <w:lang w:val="ro-RO"/>
              </w:rPr>
              <w:t>6</w:t>
            </w:r>
            <w:r w:rsidRPr="0009561A">
              <w:rPr>
                <w:rFonts w:ascii="Calibri" w:hAnsi="Calibri" w:cs="Calibri"/>
                <w:lang w:val="en-US"/>
              </w:rPr>
              <w:t>.00</w:t>
            </w:r>
          </w:p>
        </w:tc>
      </w:tr>
      <w:tr w:rsidR="0009561A" w:rsidRPr="0009561A" w:rsidTr="00E16DA3">
        <w:tc>
          <w:tcPr>
            <w:tcW w:w="4820" w:type="dxa"/>
            <w:tcBorders>
              <w:top w:val="single" w:sz="4" w:space="0" w:color="auto"/>
              <w:left w:val="single" w:sz="4" w:space="0" w:color="auto"/>
              <w:bottom w:val="single" w:sz="4" w:space="0" w:color="auto"/>
              <w:right w:val="single" w:sz="4" w:space="0" w:color="auto"/>
            </w:tcBorders>
            <w:shd w:val="pct10" w:color="auto" w:fill="FFFFFF"/>
            <w:hideMark/>
          </w:tcPr>
          <w:p w:rsidR="0009561A" w:rsidRPr="0009561A" w:rsidRDefault="0009561A" w:rsidP="00E16DA3">
            <w:pPr>
              <w:spacing w:before="120" w:after="120" w:line="256" w:lineRule="auto"/>
              <w:rPr>
                <w:rFonts w:ascii="Calibri" w:hAnsi="Calibri" w:cs="Calibri"/>
                <w:b/>
                <w:lang w:val="en-US"/>
              </w:rPr>
            </w:pPr>
            <w:r w:rsidRPr="0009561A">
              <w:rPr>
                <w:rFonts w:ascii="Calibri" w:hAnsi="Calibri" w:cs="Calibri"/>
                <w:b/>
                <w:lang w:val="en-US"/>
              </w:rPr>
              <w:t>Interviews (if any)</w:t>
            </w:r>
          </w:p>
        </w:tc>
        <w:tc>
          <w:tcPr>
            <w:tcW w:w="19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 xml:space="preserve"> Not applicable </w:t>
            </w:r>
          </w:p>
        </w:tc>
        <w:tc>
          <w:tcPr>
            <w:tcW w:w="15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w:t>
            </w:r>
          </w:p>
        </w:tc>
      </w:tr>
      <w:tr w:rsidR="0009561A" w:rsidRPr="0009561A" w:rsidTr="00E16DA3">
        <w:tc>
          <w:tcPr>
            <w:tcW w:w="4820" w:type="dxa"/>
            <w:tcBorders>
              <w:top w:val="single" w:sz="4" w:space="0" w:color="auto"/>
              <w:left w:val="single" w:sz="4" w:space="0" w:color="auto"/>
              <w:bottom w:val="single" w:sz="4" w:space="0" w:color="auto"/>
              <w:right w:val="single" w:sz="4" w:space="0" w:color="auto"/>
            </w:tcBorders>
            <w:shd w:val="pct10" w:color="auto" w:fill="FFFFFF"/>
            <w:hideMark/>
          </w:tcPr>
          <w:p w:rsidR="0009561A" w:rsidRPr="0009561A" w:rsidRDefault="0009561A" w:rsidP="00E16DA3">
            <w:pPr>
              <w:spacing w:before="120" w:after="120" w:line="256" w:lineRule="auto"/>
              <w:rPr>
                <w:rFonts w:ascii="Calibri" w:hAnsi="Calibri" w:cs="Calibri"/>
                <w:b/>
                <w:lang w:val="en-US"/>
              </w:rPr>
            </w:pPr>
            <w:r w:rsidRPr="0009561A">
              <w:rPr>
                <w:rFonts w:ascii="Calibri" w:hAnsi="Calibri" w:cs="Calibri"/>
                <w:b/>
                <w:lang w:val="en-US"/>
              </w:rPr>
              <w:t>Completion date for evaluating technical offers</w:t>
            </w:r>
          </w:p>
        </w:tc>
        <w:tc>
          <w:tcPr>
            <w:tcW w:w="19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11.05.2018</w:t>
            </w:r>
          </w:p>
        </w:tc>
        <w:tc>
          <w:tcPr>
            <w:tcW w:w="15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11.00</w:t>
            </w:r>
          </w:p>
        </w:tc>
      </w:tr>
      <w:tr w:rsidR="0009561A" w:rsidRPr="0009561A" w:rsidTr="00E16DA3">
        <w:tc>
          <w:tcPr>
            <w:tcW w:w="4820" w:type="dxa"/>
            <w:tcBorders>
              <w:top w:val="single" w:sz="4" w:space="0" w:color="auto"/>
              <w:left w:val="single" w:sz="4" w:space="0" w:color="auto"/>
              <w:bottom w:val="single" w:sz="4" w:space="0" w:color="auto"/>
              <w:right w:val="single" w:sz="4" w:space="0" w:color="auto"/>
            </w:tcBorders>
            <w:shd w:val="pct10" w:color="auto" w:fill="FFFFFF"/>
            <w:hideMark/>
          </w:tcPr>
          <w:p w:rsidR="0009561A" w:rsidRPr="0009561A" w:rsidRDefault="0009561A" w:rsidP="00E16DA3">
            <w:pPr>
              <w:spacing w:before="120" w:after="120" w:line="256" w:lineRule="auto"/>
              <w:rPr>
                <w:rFonts w:ascii="Calibri" w:hAnsi="Calibri" w:cs="Calibri"/>
                <w:b/>
                <w:lang w:val="en-US"/>
              </w:rPr>
            </w:pPr>
            <w:r w:rsidRPr="0009561A">
              <w:rPr>
                <w:rFonts w:ascii="Calibri" w:hAnsi="Calibri" w:cs="Calibri"/>
                <w:b/>
                <w:lang w:val="en-US"/>
              </w:rPr>
              <w:t xml:space="preserve">Notification of award </w:t>
            </w:r>
          </w:p>
        </w:tc>
        <w:tc>
          <w:tcPr>
            <w:tcW w:w="19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11.05.2018</w:t>
            </w:r>
          </w:p>
        </w:tc>
        <w:tc>
          <w:tcPr>
            <w:tcW w:w="15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w:t>
            </w:r>
          </w:p>
        </w:tc>
      </w:tr>
      <w:tr w:rsidR="0009561A" w:rsidRPr="0009561A" w:rsidTr="00E16DA3">
        <w:tc>
          <w:tcPr>
            <w:tcW w:w="4820" w:type="dxa"/>
            <w:tcBorders>
              <w:top w:val="single" w:sz="4" w:space="0" w:color="auto"/>
              <w:left w:val="single" w:sz="4" w:space="0" w:color="auto"/>
              <w:bottom w:val="single" w:sz="4" w:space="0" w:color="auto"/>
              <w:right w:val="single" w:sz="4" w:space="0" w:color="auto"/>
            </w:tcBorders>
            <w:shd w:val="pct10" w:color="auto" w:fill="FFFFFF"/>
            <w:hideMark/>
          </w:tcPr>
          <w:p w:rsidR="0009561A" w:rsidRPr="0009561A" w:rsidRDefault="0009561A" w:rsidP="00E16DA3">
            <w:pPr>
              <w:spacing w:before="120" w:after="120" w:line="256" w:lineRule="auto"/>
              <w:rPr>
                <w:rFonts w:ascii="Calibri" w:hAnsi="Calibri" w:cs="Calibri"/>
                <w:b/>
                <w:lang w:val="en-US"/>
              </w:rPr>
            </w:pPr>
            <w:r w:rsidRPr="0009561A">
              <w:rPr>
                <w:rFonts w:ascii="Calibri" w:hAnsi="Calibri" w:cs="Calibri"/>
                <w:b/>
                <w:lang w:val="en-US"/>
              </w:rPr>
              <w:t>Contract signature</w:t>
            </w:r>
          </w:p>
        </w:tc>
        <w:tc>
          <w:tcPr>
            <w:tcW w:w="19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14.05.2018</w:t>
            </w:r>
          </w:p>
        </w:tc>
        <w:tc>
          <w:tcPr>
            <w:tcW w:w="15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w:t>
            </w:r>
          </w:p>
        </w:tc>
      </w:tr>
      <w:tr w:rsidR="0009561A" w:rsidRPr="0009561A" w:rsidTr="00E16DA3">
        <w:tc>
          <w:tcPr>
            <w:tcW w:w="4820" w:type="dxa"/>
            <w:tcBorders>
              <w:top w:val="single" w:sz="4" w:space="0" w:color="auto"/>
              <w:left w:val="single" w:sz="4" w:space="0" w:color="auto"/>
              <w:bottom w:val="single" w:sz="4" w:space="0" w:color="auto"/>
              <w:right w:val="single" w:sz="4" w:space="0" w:color="auto"/>
            </w:tcBorders>
            <w:shd w:val="pct10" w:color="auto" w:fill="FFFFFF"/>
            <w:hideMark/>
          </w:tcPr>
          <w:p w:rsidR="0009561A" w:rsidRPr="0009561A" w:rsidRDefault="0009561A" w:rsidP="00E16DA3">
            <w:pPr>
              <w:spacing w:before="120" w:after="120" w:line="256" w:lineRule="auto"/>
              <w:rPr>
                <w:rFonts w:ascii="Calibri" w:hAnsi="Calibri" w:cs="Calibri"/>
                <w:b/>
                <w:lang w:val="en-US"/>
              </w:rPr>
            </w:pPr>
            <w:r w:rsidRPr="0009561A">
              <w:rPr>
                <w:rFonts w:ascii="Calibri" w:hAnsi="Calibri" w:cs="Calibri"/>
                <w:b/>
                <w:lang w:val="en-US"/>
              </w:rPr>
              <w:t>Start date</w:t>
            </w:r>
          </w:p>
        </w:tc>
        <w:tc>
          <w:tcPr>
            <w:tcW w:w="19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14.05.2018</w:t>
            </w:r>
          </w:p>
        </w:tc>
        <w:tc>
          <w:tcPr>
            <w:tcW w:w="1572" w:type="dxa"/>
            <w:tcBorders>
              <w:top w:val="single" w:sz="4" w:space="0" w:color="auto"/>
              <w:left w:val="single" w:sz="4" w:space="0" w:color="auto"/>
              <w:bottom w:val="single" w:sz="4" w:space="0" w:color="auto"/>
              <w:right w:val="single" w:sz="4" w:space="0" w:color="auto"/>
            </w:tcBorders>
            <w:hideMark/>
          </w:tcPr>
          <w:p w:rsidR="0009561A" w:rsidRPr="0009561A" w:rsidRDefault="0009561A" w:rsidP="00E16DA3">
            <w:pPr>
              <w:spacing w:before="120" w:after="120" w:line="256" w:lineRule="auto"/>
              <w:jc w:val="center"/>
              <w:rPr>
                <w:rFonts w:ascii="Calibri" w:hAnsi="Calibri" w:cs="Calibri"/>
                <w:lang w:val="en-US"/>
              </w:rPr>
            </w:pPr>
            <w:r w:rsidRPr="0009561A">
              <w:rPr>
                <w:rFonts w:ascii="Calibri" w:hAnsi="Calibri" w:cs="Calibri"/>
                <w:lang w:val="en-US"/>
              </w:rPr>
              <w:t>-</w:t>
            </w:r>
          </w:p>
        </w:tc>
      </w:tr>
    </w:tbl>
    <w:p w:rsidR="0009561A" w:rsidRPr="0009561A" w:rsidRDefault="0009561A" w:rsidP="0009561A">
      <w:pPr>
        <w:pStyle w:val="af2"/>
        <w:ind w:left="420"/>
      </w:pPr>
    </w:p>
    <w:p w:rsidR="0009561A" w:rsidRPr="0009561A" w:rsidRDefault="0009561A" w:rsidP="0009561A">
      <w:pPr>
        <w:keepNext/>
        <w:spacing w:before="120" w:after="120" w:line="240" w:lineRule="auto"/>
        <w:ind w:left="420"/>
        <w:jc w:val="both"/>
        <w:rPr>
          <w:rFonts w:ascii="Calibri" w:hAnsi="Calibri" w:cs="Calibri"/>
          <w:b/>
          <w:sz w:val="24"/>
          <w:szCs w:val="24"/>
        </w:rPr>
      </w:pPr>
    </w:p>
    <w:p w:rsidR="005B57B2" w:rsidRPr="0009561A" w:rsidRDefault="005B57B2" w:rsidP="005B57B2">
      <w:pPr>
        <w:spacing w:before="120" w:after="240"/>
        <w:rPr>
          <w:rFonts w:ascii="Calibri" w:hAnsi="Calibri" w:cs="Calibri"/>
          <w:b/>
          <w:lang w:val="en-US"/>
        </w:rPr>
      </w:pPr>
      <w:r w:rsidRPr="0009561A">
        <w:rPr>
          <w:rFonts w:ascii="Calibri" w:hAnsi="Calibri" w:cs="Calibri"/>
          <w:b/>
          <w:lang w:val="en-US"/>
        </w:rPr>
        <w:t>* All times are in the time zone of the country of the Contracting Authority</w:t>
      </w:r>
      <w:r w:rsidRPr="0009561A">
        <w:rPr>
          <w:rFonts w:ascii="Calibri" w:hAnsi="Calibri" w:cs="Calibri"/>
          <w:b/>
          <w:lang w:val="en-US"/>
        </w:rPr>
        <w:br/>
      </w:r>
      <w:r w:rsidRPr="0009561A">
        <w:rPr>
          <w:rFonts w:ascii="Calibri" w:hAnsi="Calibri" w:cs="Calibri"/>
          <w:vertAlign w:val="superscript"/>
        </w:rPr>
        <w:sym w:font="Monotype Sorts" w:char="F027"/>
      </w:r>
      <w:r w:rsidRPr="0009561A">
        <w:rPr>
          <w:rFonts w:ascii="Calibri" w:hAnsi="Calibri" w:cs="Calibri"/>
          <w:vertAlign w:val="superscript"/>
          <w:lang w:val="en-US"/>
        </w:rPr>
        <w:t xml:space="preserve"> </w:t>
      </w:r>
      <w:r w:rsidRPr="0009561A">
        <w:rPr>
          <w:rFonts w:ascii="Calibri" w:hAnsi="Calibri" w:cs="Calibri"/>
          <w:b/>
          <w:lang w:val="en-US"/>
        </w:rPr>
        <w:t>Provisional date</w:t>
      </w:r>
    </w:p>
    <w:p w:rsidR="005B57B2" w:rsidRPr="0009561A" w:rsidRDefault="005B57B2" w:rsidP="005B57B2">
      <w:pPr>
        <w:keepNext/>
        <w:numPr>
          <w:ilvl w:val="0"/>
          <w:numId w:val="4"/>
        </w:numPr>
        <w:spacing w:before="120" w:after="120" w:line="240" w:lineRule="auto"/>
        <w:jc w:val="both"/>
        <w:rPr>
          <w:rFonts w:ascii="Calibri" w:hAnsi="Calibri" w:cs="Calibri"/>
          <w:b/>
          <w:sz w:val="24"/>
          <w:szCs w:val="24"/>
        </w:rPr>
      </w:pPr>
      <w:bookmarkStart w:id="2" w:name="_Ref499615030"/>
      <w:r w:rsidRPr="0009561A">
        <w:rPr>
          <w:rFonts w:ascii="Calibri" w:hAnsi="Calibri" w:cs="Calibri"/>
          <w:b/>
          <w:sz w:val="24"/>
          <w:szCs w:val="24"/>
        </w:rPr>
        <w:lastRenderedPageBreak/>
        <w:t>Participation, experts and subcontracting</w:t>
      </w:r>
      <w:bookmarkEnd w:id="2"/>
    </w:p>
    <w:p w:rsidR="005B57B2" w:rsidRPr="0009561A" w:rsidRDefault="005B57B2" w:rsidP="005B57B2">
      <w:pPr>
        <w:pStyle w:val="af"/>
        <w:numPr>
          <w:ilvl w:val="0"/>
          <w:numId w:val="1"/>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rFonts w:ascii="Calibri" w:hAnsi="Calibri" w:cs="Calibri"/>
          <w:sz w:val="22"/>
          <w:szCs w:val="22"/>
        </w:rPr>
      </w:pPr>
      <w:r w:rsidRPr="0009561A">
        <w:rPr>
          <w:rFonts w:ascii="Calibri" w:hAnsi="Calibri" w:cs="Calibri"/>
          <w:sz w:val="22"/>
          <w:szCs w:val="22"/>
        </w:rPr>
        <w:t xml:space="preserve">Participation in this tender procedure is open only to the invited tenderers. For the eligibility, please see point 10 of the contract notice. </w:t>
      </w:r>
    </w:p>
    <w:p w:rsidR="005B57B2" w:rsidRPr="0009561A" w:rsidRDefault="005B57B2" w:rsidP="005B57B2">
      <w:pPr>
        <w:pStyle w:val="af"/>
        <w:numPr>
          <w:ilvl w:val="0"/>
          <w:numId w:val="1"/>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rFonts w:ascii="Calibri" w:hAnsi="Calibri" w:cs="Calibri"/>
          <w:sz w:val="22"/>
          <w:szCs w:val="22"/>
        </w:rPr>
      </w:pPr>
      <w:r w:rsidRPr="0009561A">
        <w:rPr>
          <w:rFonts w:ascii="Calibri" w:hAnsi="Calibri" w:cs="Calibri"/>
          <w:sz w:val="22"/>
          <w:szCs w:val="22"/>
        </w:rPr>
        <w:t xml:space="preserve">Natural or legal persons are not entitled to participate in this tender procedure or be awarded a contract if they are in any of the </w:t>
      </w:r>
      <w:r w:rsidRPr="0009561A">
        <w:rPr>
          <w:rFonts w:ascii="Calibri" w:hAnsi="Calibri" w:cs="Calibri"/>
          <w:sz w:val="22"/>
        </w:rPr>
        <w:t>situations</w:t>
      </w:r>
      <w:r w:rsidRPr="0009561A">
        <w:rPr>
          <w:rFonts w:ascii="Calibri" w:hAnsi="Calibri" w:cs="Calibri"/>
          <w:sz w:val="22"/>
          <w:szCs w:val="22"/>
        </w:rPr>
        <w:t xml:space="preserve"> mentioned in Section 2.3.3.1. or 2.3.3.2. of the </w:t>
      </w:r>
      <w:r w:rsidRPr="0009561A">
        <w:rPr>
          <w:rFonts w:ascii="Calibri" w:hAnsi="Calibri" w:cs="Calibri"/>
          <w:b/>
          <w:sz w:val="22"/>
          <w:szCs w:val="22"/>
        </w:rPr>
        <w:t>Practical Guide</w:t>
      </w:r>
      <w:r w:rsidRPr="0009561A">
        <w:rPr>
          <w:rFonts w:ascii="Calibri" w:hAnsi="Calibri" w:cs="Calibri"/>
          <w:sz w:val="22"/>
          <w:szCs w:val="22"/>
        </w:rPr>
        <w:t>. Should they do so, their tender will be considered unsuitable or irregular respectively.</w:t>
      </w:r>
    </w:p>
    <w:p w:rsidR="005B57B2" w:rsidRPr="0009561A" w:rsidRDefault="005B57B2" w:rsidP="005B57B2">
      <w:pPr>
        <w:pStyle w:val="af"/>
        <w:numPr>
          <w:ilvl w:val="0"/>
          <w:numId w:val="1"/>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rFonts w:ascii="Calibri" w:hAnsi="Calibri" w:cs="Calibri"/>
          <w:sz w:val="22"/>
          <w:szCs w:val="22"/>
        </w:rPr>
      </w:pPr>
      <w:r w:rsidRPr="0009561A">
        <w:rPr>
          <w:rFonts w:ascii="Calibri" w:hAnsi="Calibri" w:cs="Calibri"/>
          <w:sz w:val="22"/>
          <w:szCs w:val="22"/>
        </w:rPr>
        <w:t xml:space="preserve">In the cases listed in Section 2.3.3.1. of the </w:t>
      </w:r>
      <w:r w:rsidRPr="0009561A">
        <w:rPr>
          <w:rFonts w:ascii="Calibri" w:hAnsi="Calibri" w:cs="Calibri"/>
          <w:b/>
          <w:sz w:val="22"/>
          <w:szCs w:val="22"/>
        </w:rPr>
        <w:t>Practical Guide</w:t>
      </w:r>
      <w:r w:rsidRPr="0009561A">
        <w:rPr>
          <w:rFonts w:ascii="Calibri" w:hAnsi="Calibri" w:cs="Calibri"/>
          <w:sz w:val="22"/>
          <w:szCs w:val="22"/>
        </w:rPr>
        <w:t xml:space="preserve"> tenderers may be excluded from EU financed procedures and be subject to financial penalties representing 2</w:t>
      </w:r>
      <w:r w:rsidRPr="0009561A">
        <w:rPr>
          <w:rFonts w:ascii="Calibri" w:hAnsi="Calibri" w:cs="Calibri"/>
          <w:w w:val="50"/>
          <w:sz w:val="22"/>
          <w:szCs w:val="22"/>
        </w:rPr>
        <w:t> </w:t>
      </w:r>
      <w:r w:rsidRPr="0009561A">
        <w:rPr>
          <w:rFonts w:ascii="Calibri" w:hAnsi="Calibri" w:cs="Calibri"/>
          <w:sz w:val="22"/>
          <w:szCs w:val="22"/>
        </w:rPr>
        <w:t>% to 10</w:t>
      </w:r>
      <w:r w:rsidRPr="0009561A">
        <w:rPr>
          <w:rFonts w:ascii="Calibri" w:hAnsi="Calibri" w:cs="Calibri"/>
          <w:w w:val="50"/>
          <w:sz w:val="22"/>
          <w:szCs w:val="22"/>
        </w:rPr>
        <w:t> </w:t>
      </w:r>
      <w:r w:rsidRPr="0009561A">
        <w:rPr>
          <w:rFonts w:ascii="Calibri" w:hAnsi="Calibri" w:cs="Calibri"/>
          <w:sz w:val="22"/>
          <w:szCs w:val="22"/>
        </w:rPr>
        <w:t xml:space="preserve">% of the total value of the contract in accordance with the conditions set in Section 2.3.4. of the </w:t>
      </w:r>
      <w:r w:rsidRPr="0009561A">
        <w:rPr>
          <w:rFonts w:ascii="Calibri" w:hAnsi="Calibri" w:cs="Calibri"/>
          <w:b/>
          <w:sz w:val="22"/>
          <w:szCs w:val="22"/>
        </w:rPr>
        <w:t>Practical Guide</w:t>
      </w:r>
      <w:r w:rsidRPr="0009561A">
        <w:rPr>
          <w:rFonts w:ascii="Calibri" w:hAnsi="Calibri" w:cs="Calibri"/>
          <w:sz w:val="22"/>
          <w:szCs w:val="22"/>
        </w:rPr>
        <w:t xml:space="preserve">. This information may be published on the Commission website in accordance with the conditions set in Section 2.3.4. of the Practical Guide. </w:t>
      </w:r>
    </w:p>
    <w:p w:rsidR="005B57B2" w:rsidRPr="0009561A" w:rsidRDefault="005B57B2" w:rsidP="005B57B2">
      <w:pPr>
        <w:pStyle w:val="af"/>
        <w:numPr>
          <w:ilvl w:val="0"/>
          <w:numId w:val="1"/>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rFonts w:ascii="Calibri" w:hAnsi="Calibri" w:cs="Calibri"/>
          <w:sz w:val="22"/>
          <w:szCs w:val="22"/>
        </w:rPr>
      </w:pPr>
      <w:r w:rsidRPr="0009561A">
        <w:rPr>
          <w:rFonts w:ascii="Calibri" w:hAnsi="Calibri" w:cs="Calibri"/>
          <w:sz w:val="22"/>
          <w:szCs w:val="22"/>
        </w:rPr>
        <w:t xml:space="preserve">The contract between the tenderer/contractor and its experts shall contain a provision that it is subject to the approval of the partner country. It is furthermore recommended that this contract contains a dispute resolution clause. </w:t>
      </w:r>
    </w:p>
    <w:p w:rsidR="005B57B2" w:rsidRPr="0009561A" w:rsidRDefault="005B57B2" w:rsidP="005B57B2">
      <w:pPr>
        <w:pStyle w:val="af"/>
        <w:numPr>
          <w:ilvl w:val="0"/>
          <w:numId w:val="1"/>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rFonts w:ascii="Calibri" w:hAnsi="Calibri" w:cs="Calibri"/>
          <w:sz w:val="22"/>
          <w:szCs w:val="22"/>
        </w:rPr>
      </w:pPr>
      <w:r w:rsidRPr="0009561A">
        <w:rPr>
          <w:rFonts w:ascii="Calibri" w:hAnsi="Calibri" w:cs="Calibri"/>
          <w:sz w:val="22"/>
          <w:szCs w:val="22"/>
        </w:rPr>
        <w:t xml:space="preserve">The tenderer must intend to provide the majority of the services itself except for the tasks entrusted to experts either as natural persons or single-member companies. If the tenderer intends to subcontract one or more parts of the contracted services, this must be clearly stated in the Organisation and Methodology and the Tender submission form. </w:t>
      </w:r>
    </w:p>
    <w:p w:rsidR="005B57B2" w:rsidRPr="0009561A" w:rsidRDefault="005B57B2" w:rsidP="005B57B2">
      <w:pPr>
        <w:pStyle w:val="af"/>
        <w:numPr>
          <w:ilvl w:val="0"/>
          <w:numId w:val="1"/>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rFonts w:ascii="Calibri" w:hAnsi="Calibri" w:cs="Calibri"/>
          <w:sz w:val="22"/>
          <w:szCs w:val="22"/>
        </w:rPr>
      </w:pPr>
      <w:r w:rsidRPr="0009561A">
        <w:rPr>
          <w:rFonts w:ascii="Calibri" w:hAnsi="Calibri" w:cs="Calibri"/>
          <w:sz w:val="22"/>
          <w:szCs w:val="22"/>
        </w:rPr>
        <w:t>All subcontractors must be eligible for the contract.</w:t>
      </w:r>
    </w:p>
    <w:p w:rsidR="005B57B2" w:rsidRPr="0009561A" w:rsidRDefault="005B57B2" w:rsidP="005B57B2">
      <w:pPr>
        <w:pStyle w:val="af"/>
        <w:numPr>
          <w:ilvl w:val="0"/>
          <w:numId w:val="1"/>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rFonts w:ascii="Calibri" w:hAnsi="Calibri" w:cs="Calibri"/>
          <w:sz w:val="22"/>
          <w:szCs w:val="22"/>
        </w:rPr>
      </w:pPr>
      <w:r w:rsidRPr="0009561A">
        <w:rPr>
          <w:rFonts w:ascii="Calibri" w:hAnsi="Calibri" w:cs="Calibri"/>
          <w:sz w:val="22"/>
          <w:szCs w:val="22"/>
        </w:rPr>
        <w:t xml:space="preserve">Subcontractors cannot be in any of the exclusion situations listed in Section 2.3.3 of the Practical Guide. </w:t>
      </w:r>
    </w:p>
    <w:p w:rsidR="005B57B2" w:rsidRPr="0009561A" w:rsidRDefault="005B57B2" w:rsidP="005B57B2">
      <w:pPr>
        <w:pStyle w:val="af"/>
        <w:numPr>
          <w:ilvl w:val="0"/>
          <w:numId w:val="1"/>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rFonts w:ascii="Calibri" w:hAnsi="Calibri" w:cs="Calibri"/>
          <w:sz w:val="22"/>
          <w:szCs w:val="22"/>
        </w:rPr>
      </w:pPr>
      <w:r w:rsidRPr="0009561A">
        <w:rPr>
          <w:rFonts w:ascii="Calibri" w:hAnsi="Calibri" w:cs="Calibri"/>
          <w:sz w:val="22"/>
          <w:szCs w:val="22"/>
        </w:rPr>
        <w:t>If the offer includes subcontracting, it is recommended that the contractual arrangements between the tenderer and its subcontractors include mediation, according to national and international practices, as a method of dispute resolution.</w:t>
      </w:r>
    </w:p>
    <w:p w:rsidR="005B57B2" w:rsidRPr="0009561A" w:rsidRDefault="005B57B2" w:rsidP="005B57B2">
      <w:pPr>
        <w:widowControl w:val="0"/>
        <w:numPr>
          <w:ilvl w:val="0"/>
          <w:numId w:val="4"/>
        </w:numPr>
        <w:spacing w:before="120" w:after="120" w:line="240" w:lineRule="auto"/>
        <w:jc w:val="both"/>
        <w:rPr>
          <w:rFonts w:ascii="Calibri" w:hAnsi="Calibri" w:cs="Calibri"/>
          <w:b/>
          <w:sz w:val="24"/>
          <w:szCs w:val="24"/>
        </w:rPr>
      </w:pPr>
      <w:r w:rsidRPr="0009561A">
        <w:rPr>
          <w:rFonts w:ascii="Calibri" w:hAnsi="Calibri" w:cs="Calibri"/>
          <w:b/>
          <w:sz w:val="24"/>
          <w:szCs w:val="24"/>
        </w:rPr>
        <w:t>Content of tenders</w:t>
      </w:r>
    </w:p>
    <w:p w:rsidR="005B57B2" w:rsidRPr="0009561A" w:rsidRDefault="005B57B2" w:rsidP="005B57B2">
      <w:pPr>
        <w:pStyle w:val="2"/>
        <w:keepNext w:val="0"/>
        <w:widowControl w:val="0"/>
        <w:tabs>
          <w:tab w:val="clear" w:pos="426"/>
        </w:tabs>
        <w:spacing w:before="120" w:after="120"/>
        <w:jc w:val="both"/>
        <w:rPr>
          <w:rFonts w:ascii="Calibri" w:hAnsi="Calibri" w:cs="Calibri"/>
          <w:sz w:val="22"/>
          <w:szCs w:val="22"/>
          <w:lang w:val="en-GB"/>
        </w:rPr>
      </w:pPr>
      <w:r w:rsidRPr="0009561A">
        <w:rPr>
          <w:rFonts w:ascii="Calibri" w:hAnsi="Calibri" w:cs="Calibri"/>
          <w:sz w:val="22"/>
          <w:szCs w:val="22"/>
          <w:lang w:val="en-GB"/>
        </w:rPr>
        <w:t>Offers, all correspondence and documents related to the tender exchanged by the tenderer and the Contracting Authority must be written in English.</w:t>
      </w:r>
    </w:p>
    <w:p w:rsidR="005B57B2" w:rsidRPr="0009561A" w:rsidRDefault="005B57B2" w:rsidP="005B57B2">
      <w:pPr>
        <w:pStyle w:val="2"/>
        <w:keepNext w:val="0"/>
        <w:widowControl w:val="0"/>
        <w:tabs>
          <w:tab w:val="clear" w:pos="426"/>
        </w:tabs>
        <w:spacing w:before="120" w:after="120"/>
        <w:jc w:val="both"/>
        <w:rPr>
          <w:rFonts w:ascii="Calibri" w:hAnsi="Calibri" w:cs="Calibri"/>
          <w:sz w:val="22"/>
          <w:szCs w:val="22"/>
          <w:lang w:val="en-GB"/>
        </w:rPr>
      </w:pPr>
      <w:r w:rsidRPr="0009561A">
        <w:rPr>
          <w:rFonts w:ascii="Calibri" w:hAnsi="Calibri" w:cs="Calibri"/>
          <w:sz w:val="22"/>
          <w:szCs w:val="22"/>
          <w:lang w:val="en-GB"/>
        </w:rPr>
        <w:t xml:space="preserve">Supporting documents and printed literature furnished by the tenderer may be in another language, provided they are accompanied by a translation into the language of the procedure. For the purposes of interpreting the tender, the language of the procedure has precedence. </w:t>
      </w:r>
    </w:p>
    <w:p w:rsidR="005B57B2" w:rsidRPr="0009561A" w:rsidRDefault="005B57B2" w:rsidP="005B57B2">
      <w:pPr>
        <w:widowControl w:val="0"/>
        <w:spacing w:before="120" w:after="120"/>
        <w:jc w:val="both"/>
        <w:rPr>
          <w:rFonts w:ascii="Calibri" w:hAnsi="Calibri" w:cs="Calibri"/>
          <w:lang w:val="en-US"/>
        </w:rPr>
      </w:pPr>
      <w:r w:rsidRPr="0009561A">
        <w:rPr>
          <w:rFonts w:ascii="Calibri" w:hAnsi="Calibri" w:cs="Calibri"/>
          <w:lang w:val="en-US"/>
        </w:rPr>
        <w:t xml:space="preserve">The tender must comprise of a Technical offer and a Financial offer, which must be submitted on-line, in a </w:t>
      </w:r>
      <w:r w:rsidR="003C2263" w:rsidRPr="0009561A">
        <w:rPr>
          <w:rFonts w:ascii="Calibri" w:hAnsi="Calibri" w:cs="Calibri"/>
          <w:lang w:val="en-US"/>
        </w:rPr>
        <w:t xml:space="preserve">two </w:t>
      </w:r>
      <w:r w:rsidRPr="0009561A">
        <w:rPr>
          <w:rFonts w:ascii="Calibri" w:hAnsi="Calibri" w:cs="Calibri"/>
          <w:lang w:val="en-US"/>
        </w:rPr>
        <w:t>password protected file</w:t>
      </w:r>
      <w:r w:rsidR="003C2263" w:rsidRPr="0009561A">
        <w:rPr>
          <w:rFonts w:ascii="Calibri" w:hAnsi="Calibri" w:cs="Calibri"/>
          <w:lang w:val="en-US"/>
        </w:rPr>
        <w:t>s</w:t>
      </w:r>
      <w:r w:rsidRPr="0009561A">
        <w:rPr>
          <w:rFonts w:ascii="Calibri" w:hAnsi="Calibri" w:cs="Calibri"/>
          <w:lang w:val="en-US"/>
        </w:rPr>
        <w:t xml:space="preserve"> or archive</w:t>
      </w:r>
      <w:r w:rsidR="003C2263" w:rsidRPr="0009561A">
        <w:rPr>
          <w:rFonts w:ascii="Calibri" w:hAnsi="Calibri" w:cs="Calibri"/>
          <w:lang w:val="en-US"/>
        </w:rPr>
        <w:t>s</w:t>
      </w:r>
      <w:r w:rsidRPr="0009561A">
        <w:rPr>
          <w:rFonts w:ascii="Calibri" w:hAnsi="Calibri" w:cs="Calibri"/>
          <w:lang w:val="en-US"/>
        </w:rPr>
        <w:t>. The tender must present the password file</w:t>
      </w:r>
      <w:r w:rsidR="003C2263" w:rsidRPr="0009561A">
        <w:rPr>
          <w:rFonts w:ascii="Calibri" w:hAnsi="Calibri" w:cs="Calibri"/>
          <w:lang w:val="en-US"/>
        </w:rPr>
        <w:t>s</w:t>
      </w:r>
      <w:r w:rsidRPr="0009561A">
        <w:rPr>
          <w:rFonts w:ascii="Calibri" w:hAnsi="Calibri" w:cs="Calibri"/>
          <w:lang w:val="en-US"/>
        </w:rPr>
        <w:t xml:space="preserve"> until </w:t>
      </w:r>
      <w:r w:rsidR="0009561A" w:rsidRPr="0009561A">
        <w:rPr>
          <w:rFonts w:ascii="Calibri" w:hAnsi="Calibri" w:cs="Calibri"/>
          <w:lang w:val="en-US"/>
        </w:rPr>
        <w:t>10</w:t>
      </w:r>
      <w:r w:rsidRPr="0009561A">
        <w:rPr>
          <w:rFonts w:ascii="Calibri" w:hAnsi="Calibri" w:cs="Calibri"/>
          <w:lang w:val="en-US"/>
        </w:rPr>
        <w:t xml:space="preserve">.00 hour, </w:t>
      </w:r>
      <w:r w:rsidR="0009561A" w:rsidRPr="0009561A">
        <w:rPr>
          <w:rFonts w:ascii="Calibri" w:hAnsi="Calibri" w:cs="Calibri"/>
          <w:lang w:val="en-US"/>
        </w:rPr>
        <w:t>11</w:t>
      </w:r>
      <w:r w:rsidR="003C2263" w:rsidRPr="0009561A">
        <w:rPr>
          <w:rFonts w:ascii="Calibri" w:hAnsi="Calibri" w:cs="Calibri"/>
          <w:lang w:val="en-US"/>
        </w:rPr>
        <w:t>.</w:t>
      </w:r>
      <w:r w:rsidR="0009561A" w:rsidRPr="0009561A">
        <w:rPr>
          <w:rFonts w:ascii="Calibri" w:hAnsi="Calibri" w:cs="Calibri"/>
          <w:lang w:val="en-US"/>
        </w:rPr>
        <w:t>05</w:t>
      </w:r>
      <w:r w:rsidRPr="0009561A">
        <w:rPr>
          <w:rFonts w:ascii="Calibri" w:hAnsi="Calibri" w:cs="Calibri"/>
          <w:lang w:val="en-US"/>
        </w:rPr>
        <w:t xml:space="preserve">.2018, contrary he risk being disqualified.   </w:t>
      </w:r>
    </w:p>
    <w:p w:rsidR="005B57B2" w:rsidRPr="0009561A" w:rsidRDefault="005B57B2" w:rsidP="005B57B2">
      <w:pPr>
        <w:widowControl w:val="0"/>
        <w:spacing w:before="120" w:after="120"/>
        <w:ind w:left="567" w:hanging="567"/>
        <w:jc w:val="both"/>
        <w:rPr>
          <w:rFonts w:ascii="Calibri" w:hAnsi="Calibri" w:cs="Calibri"/>
          <w:b/>
          <w:lang w:val="en-US"/>
        </w:rPr>
      </w:pPr>
      <w:r w:rsidRPr="0009561A">
        <w:rPr>
          <w:rFonts w:ascii="Calibri" w:hAnsi="Calibri" w:cs="Calibri"/>
          <w:b/>
          <w:lang w:val="en-US"/>
        </w:rPr>
        <w:t>4.1.</w:t>
      </w:r>
      <w:r w:rsidRPr="0009561A">
        <w:rPr>
          <w:rFonts w:ascii="Calibri" w:hAnsi="Calibri" w:cs="Calibri"/>
          <w:b/>
          <w:lang w:val="en-US"/>
        </w:rPr>
        <w:tab/>
        <w:t>Technical offer</w:t>
      </w:r>
    </w:p>
    <w:p w:rsidR="005B57B2" w:rsidRPr="0009561A" w:rsidRDefault="005B57B2" w:rsidP="005B57B2">
      <w:pPr>
        <w:widowControl w:val="0"/>
        <w:spacing w:before="120" w:after="120"/>
        <w:jc w:val="both"/>
        <w:rPr>
          <w:rFonts w:ascii="Calibri" w:hAnsi="Calibri" w:cs="Calibri"/>
          <w:lang w:val="en-US"/>
        </w:rPr>
      </w:pPr>
      <w:r w:rsidRPr="0009561A">
        <w:rPr>
          <w:rFonts w:ascii="Calibri" w:hAnsi="Calibri" w:cs="Calibri"/>
          <w:lang w:val="en-US"/>
        </w:rPr>
        <w:t>The Technical offer must include the following documents</w:t>
      </w:r>
      <w:r w:rsidR="003C2263" w:rsidRPr="0009561A">
        <w:rPr>
          <w:rFonts w:ascii="Calibri" w:hAnsi="Calibri" w:cs="Calibri"/>
          <w:lang w:val="en-US"/>
        </w:rPr>
        <w:t>, also in a password protected file or archive</w:t>
      </w:r>
      <w:r w:rsidRPr="0009561A">
        <w:rPr>
          <w:rFonts w:ascii="Calibri" w:hAnsi="Calibri" w:cs="Calibri"/>
          <w:lang w:val="en-US"/>
        </w:rPr>
        <w:t>:</w:t>
      </w:r>
    </w:p>
    <w:p w:rsidR="005B57B2" w:rsidRPr="0009561A" w:rsidRDefault="005B57B2" w:rsidP="005B57B2">
      <w:pPr>
        <w:widowControl w:val="0"/>
        <w:numPr>
          <w:ilvl w:val="0"/>
          <w:numId w:val="2"/>
        </w:numPr>
        <w:tabs>
          <w:tab w:val="num" w:pos="567"/>
        </w:tabs>
        <w:spacing w:before="120" w:after="120" w:line="240" w:lineRule="auto"/>
        <w:ind w:left="567" w:hanging="567"/>
        <w:jc w:val="both"/>
        <w:rPr>
          <w:rFonts w:ascii="Calibri" w:hAnsi="Calibri" w:cs="Calibri"/>
          <w:lang w:val="en-US"/>
        </w:rPr>
      </w:pPr>
      <w:r w:rsidRPr="0009561A">
        <w:rPr>
          <w:rFonts w:ascii="Calibri" w:hAnsi="Calibri" w:cs="Calibri"/>
          <w:b/>
          <w:lang w:val="en-US"/>
        </w:rPr>
        <w:t>Tender submission form</w:t>
      </w:r>
      <w:r w:rsidRPr="0009561A">
        <w:rPr>
          <w:rFonts w:ascii="Calibri" w:hAnsi="Calibri" w:cs="Calibri"/>
          <w:lang w:val="en-US"/>
        </w:rPr>
        <w:t xml:space="preserve"> (see Part D of this tender dossier) including:</w:t>
      </w:r>
    </w:p>
    <w:p w:rsidR="005B57B2" w:rsidRPr="0009561A" w:rsidRDefault="005B57B2" w:rsidP="005B57B2">
      <w:pPr>
        <w:numPr>
          <w:ilvl w:val="0"/>
          <w:numId w:val="6"/>
        </w:numPr>
        <w:spacing w:before="120" w:after="120" w:line="240" w:lineRule="auto"/>
        <w:jc w:val="both"/>
        <w:rPr>
          <w:rFonts w:ascii="Calibri" w:hAnsi="Calibri" w:cs="Calibri"/>
          <w:lang w:val="en-US"/>
        </w:rPr>
      </w:pPr>
      <w:r w:rsidRPr="0009561A">
        <w:rPr>
          <w:rFonts w:ascii="Calibri" w:hAnsi="Calibri" w:cs="Calibri"/>
          <w:lang w:val="en-US"/>
        </w:rPr>
        <w:t>A signed</w:t>
      </w:r>
      <w:r w:rsidRPr="0009561A">
        <w:rPr>
          <w:rFonts w:ascii="Calibri" w:hAnsi="Calibri" w:cs="Calibri"/>
          <w:b/>
          <w:lang w:val="en-US"/>
        </w:rPr>
        <w:t xml:space="preserve"> declaration</w:t>
      </w:r>
      <w:r w:rsidRPr="0009561A">
        <w:rPr>
          <w:rFonts w:ascii="Calibri" w:hAnsi="Calibri" w:cs="Calibri"/>
          <w:lang w:val="en-US"/>
        </w:rPr>
        <w:t xml:space="preserve"> from each legal entity identified in the tender submission form, using the format attached to the tender submission form.</w:t>
      </w:r>
    </w:p>
    <w:p w:rsidR="005B57B2" w:rsidRPr="0009561A" w:rsidRDefault="005B57B2" w:rsidP="005B57B2">
      <w:pPr>
        <w:numPr>
          <w:ilvl w:val="0"/>
          <w:numId w:val="2"/>
        </w:numPr>
        <w:tabs>
          <w:tab w:val="num" w:pos="567"/>
        </w:tabs>
        <w:spacing w:before="120" w:after="120" w:line="240" w:lineRule="auto"/>
        <w:ind w:left="567" w:hanging="567"/>
        <w:jc w:val="both"/>
        <w:rPr>
          <w:rFonts w:ascii="Calibri" w:hAnsi="Calibri" w:cs="Calibri"/>
          <w:lang w:val="en-US"/>
        </w:rPr>
      </w:pPr>
      <w:proofErr w:type="spellStart"/>
      <w:r w:rsidRPr="0009561A">
        <w:rPr>
          <w:rFonts w:ascii="Calibri" w:hAnsi="Calibri" w:cs="Calibri"/>
          <w:b/>
          <w:lang w:val="en-US"/>
        </w:rPr>
        <w:t>Organisation</w:t>
      </w:r>
      <w:proofErr w:type="spellEnd"/>
      <w:r w:rsidRPr="0009561A">
        <w:rPr>
          <w:rFonts w:ascii="Calibri" w:hAnsi="Calibri" w:cs="Calibri"/>
          <w:b/>
          <w:lang w:val="en-US"/>
        </w:rPr>
        <w:t xml:space="preserve"> and methodology</w:t>
      </w:r>
      <w:r w:rsidRPr="0009561A">
        <w:rPr>
          <w:rFonts w:ascii="Calibri" w:hAnsi="Calibri" w:cs="Calibri"/>
          <w:lang w:val="en-US"/>
        </w:rPr>
        <w:t xml:space="preserve"> (will become Annex III to the contract), to be drawn up by the tenderer using the format in Annex III to the draft contract.</w:t>
      </w:r>
    </w:p>
    <w:p w:rsidR="005B57B2" w:rsidRPr="0009561A" w:rsidRDefault="001B3020" w:rsidP="005B57B2">
      <w:pPr>
        <w:pStyle w:val="ad"/>
        <w:tabs>
          <w:tab w:val="clear" w:pos="567"/>
        </w:tabs>
        <w:spacing w:before="120"/>
        <w:rPr>
          <w:rFonts w:ascii="Calibri" w:hAnsi="Calibri" w:cs="Calibri"/>
          <w:sz w:val="22"/>
          <w:szCs w:val="22"/>
        </w:rPr>
      </w:pPr>
      <w:r w:rsidRPr="0009561A">
        <w:rPr>
          <w:rFonts w:ascii="Calibri" w:hAnsi="Calibri" w:cs="Calibri"/>
          <w:sz w:val="22"/>
          <w:szCs w:val="22"/>
        </w:rPr>
        <w:t>(3</w:t>
      </w:r>
      <w:r w:rsidR="005B57B2" w:rsidRPr="0009561A">
        <w:rPr>
          <w:rFonts w:ascii="Calibri" w:hAnsi="Calibri" w:cs="Calibri"/>
          <w:sz w:val="22"/>
          <w:szCs w:val="22"/>
        </w:rPr>
        <w:t>)</w:t>
      </w:r>
      <w:r w:rsidR="005B57B2" w:rsidRPr="0009561A">
        <w:rPr>
          <w:rFonts w:ascii="Calibri" w:hAnsi="Calibri" w:cs="Calibri"/>
          <w:sz w:val="22"/>
          <w:szCs w:val="22"/>
        </w:rPr>
        <w:tab/>
        <w:t xml:space="preserve">Documentary proof or statements required under the law of the country in which the company (or each of the companies for consortia) is effectively established, to show that it is not in any of the exclusion situations listed in section 2.3.3 of the Practical Guide. This </w:t>
      </w:r>
      <w:r w:rsidR="005B57B2" w:rsidRPr="0009561A">
        <w:rPr>
          <w:rFonts w:ascii="Calibri" w:hAnsi="Calibri" w:cs="Calibri"/>
          <w:sz w:val="22"/>
          <w:szCs w:val="22"/>
        </w:rPr>
        <w:lastRenderedPageBreak/>
        <w:t xml:space="preserve">evidence, documents or statements must be dated, no more than one year before the date of submission of the tender. In addition, a statement must be furnished stating that the situations described in these documents have not changed since then.  </w:t>
      </w:r>
    </w:p>
    <w:p w:rsidR="005B57B2" w:rsidRPr="0009561A" w:rsidRDefault="005B57B2" w:rsidP="005B57B2">
      <w:pPr>
        <w:pStyle w:val="ad"/>
        <w:keepNext/>
        <w:keepLines/>
        <w:tabs>
          <w:tab w:val="clear" w:pos="567"/>
        </w:tabs>
        <w:spacing w:before="120"/>
        <w:ind w:firstLine="0"/>
        <w:rPr>
          <w:rFonts w:ascii="Calibri" w:hAnsi="Calibri" w:cs="Calibri"/>
          <w:sz w:val="22"/>
          <w:szCs w:val="22"/>
        </w:rPr>
      </w:pPr>
      <w:r w:rsidRPr="0009561A">
        <w:rPr>
          <w:rFonts w:ascii="Calibri" w:hAnsi="Calibri" w:cs="Calibri"/>
          <w:sz w:val="22"/>
          <w:szCs w:val="22"/>
        </w:rPr>
        <w:t>If the nature of your entity is such that it cannot fall into the exclusion situations and/or cannot provide the documents indicated above (for instance, national public administrations and international organisations), please provide a declaration explaining this situation.</w:t>
      </w:r>
    </w:p>
    <w:p w:rsidR="005B57B2" w:rsidRPr="0009561A" w:rsidRDefault="005B57B2" w:rsidP="005B57B2">
      <w:pPr>
        <w:spacing w:before="120" w:after="120"/>
        <w:ind w:left="567"/>
        <w:jc w:val="both"/>
        <w:rPr>
          <w:rFonts w:ascii="Calibri" w:hAnsi="Calibri" w:cs="Calibri"/>
          <w:lang w:val="en-US"/>
        </w:rPr>
      </w:pPr>
      <w:r w:rsidRPr="0009561A">
        <w:rPr>
          <w:rFonts w:ascii="Calibri" w:hAnsi="Calibri" w:cs="Calibri"/>
          <w:color w:val="000000"/>
          <w:lang w:val="en-US"/>
        </w:rPr>
        <w:t xml:space="preserve">The Contracting Authority may waive the obligation of any candidate or tenderer to submit the documentary evidence referred to above if such evidence has already been submitted for the purposes of another procurement procedure, provided that the issue date of the documents does not exceed one year and that they are still valid. In this case, the candidate or tenderer must declare on his/her </w:t>
      </w:r>
      <w:proofErr w:type="spellStart"/>
      <w:r w:rsidRPr="0009561A">
        <w:rPr>
          <w:rFonts w:ascii="Calibri" w:hAnsi="Calibri" w:cs="Calibri"/>
          <w:color w:val="000000"/>
          <w:lang w:val="en-US"/>
        </w:rPr>
        <w:t>honour</w:t>
      </w:r>
      <w:proofErr w:type="spellEnd"/>
      <w:r w:rsidRPr="0009561A">
        <w:rPr>
          <w:rFonts w:ascii="Calibri" w:hAnsi="Calibri" w:cs="Calibri"/>
          <w:color w:val="000000"/>
          <w:lang w:val="en-US"/>
        </w:rPr>
        <w:t xml:space="preserve"> that the documentary evidence has already been provided in a previous procurement procedure and confirm that his/her situation has not changed.</w:t>
      </w:r>
    </w:p>
    <w:p w:rsidR="005B57B2" w:rsidRPr="0009561A" w:rsidRDefault="001B3020" w:rsidP="005B57B2">
      <w:pPr>
        <w:spacing w:before="120" w:after="120"/>
        <w:ind w:left="567" w:hanging="567"/>
        <w:jc w:val="both"/>
        <w:rPr>
          <w:rFonts w:ascii="Calibri" w:hAnsi="Calibri" w:cs="Calibri"/>
          <w:color w:val="000000"/>
          <w:lang w:val="en-US"/>
        </w:rPr>
      </w:pPr>
      <w:r w:rsidRPr="0009561A">
        <w:rPr>
          <w:rFonts w:ascii="Calibri" w:hAnsi="Calibri" w:cs="Calibri"/>
          <w:color w:val="000000"/>
          <w:lang w:val="en-US"/>
        </w:rPr>
        <w:t>(4</w:t>
      </w:r>
      <w:r w:rsidR="005B57B2" w:rsidRPr="0009561A">
        <w:rPr>
          <w:rFonts w:ascii="Calibri" w:hAnsi="Calibri" w:cs="Calibri"/>
          <w:color w:val="000000"/>
          <w:lang w:val="en-US"/>
        </w:rPr>
        <w:t>)</w:t>
      </w:r>
      <w:r w:rsidR="005B57B2" w:rsidRPr="0009561A">
        <w:rPr>
          <w:rFonts w:ascii="Calibri" w:hAnsi="Calibri" w:cs="Calibri"/>
          <w:color w:val="000000"/>
          <w:lang w:val="en-US"/>
        </w:rPr>
        <w:tab/>
        <w:t xml:space="preserve">Documentary evidence of the financial and economic capacity and/or of the technical and professional capacity according to the selection criteria specified in point 16 of the contract notice. </w:t>
      </w:r>
      <w:r w:rsidR="005B57B2" w:rsidRPr="0009561A">
        <w:rPr>
          <w:rFonts w:ascii="Calibri" w:hAnsi="Calibri" w:cs="Calibri"/>
          <w:lang w:val="en-US"/>
        </w:rPr>
        <w:t>(See further point 2.4.11 of the Practical Guide).</w:t>
      </w:r>
      <w:r w:rsidR="005B57B2" w:rsidRPr="0009561A">
        <w:rPr>
          <w:rFonts w:ascii="Calibri" w:hAnsi="Calibri" w:cs="Calibri"/>
          <w:color w:val="000000"/>
          <w:lang w:val="en-US"/>
        </w:rPr>
        <w:t xml:space="preserve"> </w:t>
      </w:r>
    </w:p>
    <w:p w:rsidR="005B57B2" w:rsidRPr="0009561A" w:rsidRDefault="005B57B2" w:rsidP="005B57B2">
      <w:pPr>
        <w:spacing w:before="120" w:after="120"/>
        <w:jc w:val="both"/>
        <w:rPr>
          <w:rFonts w:ascii="Calibri" w:hAnsi="Calibri" w:cs="Calibri"/>
          <w:lang w:val="en-US"/>
        </w:rPr>
      </w:pPr>
      <w:r w:rsidRPr="0009561A">
        <w:rPr>
          <w:rFonts w:ascii="Calibri" w:hAnsi="Calibri" w:cs="Calibri"/>
          <w:lang w:val="en-US"/>
        </w:rPr>
        <w:t>Tenderers are reminded that the provision of false information in this tender procedure may lead to the rejection of their tender and to their exclusion from EU-funded procedures and contracts.</w:t>
      </w:r>
    </w:p>
    <w:p w:rsidR="005B57B2" w:rsidRPr="0009561A" w:rsidRDefault="005B57B2" w:rsidP="005B57B2">
      <w:pPr>
        <w:keepNext/>
        <w:spacing w:before="120" w:after="120"/>
        <w:ind w:left="567" w:hanging="567"/>
        <w:jc w:val="both"/>
        <w:rPr>
          <w:rFonts w:ascii="Calibri" w:hAnsi="Calibri" w:cs="Calibri"/>
          <w:b/>
          <w:lang w:val="en-US"/>
        </w:rPr>
      </w:pPr>
      <w:r w:rsidRPr="0009561A">
        <w:rPr>
          <w:rFonts w:ascii="Calibri" w:hAnsi="Calibri" w:cs="Calibri"/>
          <w:b/>
          <w:lang w:val="en-US"/>
        </w:rPr>
        <w:t>4.2.</w:t>
      </w:r>
      <w:r w:rsidRPr="0009561A">
        <w:rPr>
          <w:rFonts w:ascii="Calibri" w:hAnsi="Calibri" w:cs="Calibri"/>
          <w:b/>
          <w:lang w:val="en-US"/>
        </w:rPr>
        <w:tab/>
        <w:t>Financial offer</w:t>
      </w:r>
    </w:p>
    <w:p w:rsidR="005B57B2" w:rsidRPr="0009561A" w:rsidRDefault="005B57B2" w:rsidP="005B57B2">
      <w:pPr>
        <w:shd w:val="clear" w:color="auto" w:fill="FFFFFF"/>
        <w:spacing w:before="120" w:after="120"/>
        <w:jc w:val="both"/>
        <w:rPr>
          <w:rFonts w:ascii="Calibri" w:hAnsi="Calibri" w:cs="Calibri"/>
          <w:color w:val="0000FF"/>
          <w:lang w:val="en-US"/>
        </w:rPr>
      </w:pPr>
      <w:r w:rsidRPr="0009561A">
        <w:rPr>
          <w:rFonts w:ascii="Calibri" w:hAnsi="Calibri" w:cs="Calibri"/>
          <w:lang w:val="en-US"/>
        </w:rPr>
        <w:t>The Financial offer must be presented as an amount in Euro.</w:t>
      </w:r>
    </w:p>
    <w:p w:rsidR="005B57B2" w:rsidRPr="0009561A" w:rsidRDefault="005B57B2" w:rsidP="005B57B2">
      <w:pPr>
        <w:shd w:val="clear" w:color="auto" w:fill="FFFFFF"/>
        <w:spacing w:before="120" w:after="120"/>
        <w:jc w:val="both"/>
        <w:rPr>
          <w:rFonts w:ascii="Calibri" w:hAnsi="Calibri" w:cs="Calibri"/>
          <w:lang w:val="en-US"/>
        </w:rPr>
      </w:pPr>
      <w:r w:rsidRPr="0009561A">
        <w:rPr>
          <w:rFonts w:ascii="Calibri" w:hAnsi="Calibri" w:cs="Calibri"/>
          <w:lang w:val="en-US"/>
        </w:rPr>
        <w:t>The global price may be broken down by outputs if required from the Terms of Reference.</w:t>
      </w:r>
    </w:p>
    <w:p w:rsidR="005B57B2" w:rsidRPr="0009561A" w:rsidRDefault="005B57B2" w:rsidP="005B57B2">
      <w:pPr>
        <w:keepNext/>
        <w:numPr>
          <w:ilvl w:val="0"/>
          <w:numId w:val="4"/>
        </w:numPr>
        <w:spacing w:before="120" w:after="120" w:line="240" w:lineRule="auto"/>
        <w:jc w:val="both"/>
        <w:rPr>
          <w:rFonts w:ascii="Calibri" w:hAnsi="Calibri" w:cs="Calibri"/>
          <w:b/>
          <w:sz w:val="24"/>
          <w:szCs w:val="24"/>
        </w:rPr>
      </w:pPr>
      <w:r w:rsidRPr="0009561A">
        <w:rPr>
          <w:rFonts w:ascii="Calibri" w:hAnsi="Calibri" w:cs="Calibri"/>
          <w:b/>
          <w:sz w:val="24"/>
          <w:szCs w:val="24"/>
        </w:rPr>
        <w:t>Variant solutions</w:t>
      </w:r>
    </w:p>
    <w:p w:rsidR="005B57B2" w:rsidRPr="0009561A" w:rsidRDefault="005B57B2" w:rsidP="005B57B2">
      <w:pPr>
        <w:spacing w:before="120" w:after="120"/>
        <w:rPr>
          <w:rFonts w:ascii="Calibri" w:hAnsi="Calibri" w:cs="Calibri"/>
          <w:lang w:val="en-US"/>
        </w:rPr>
      </w:pPr>
      <w:proofErr w:type="spellStart"/>
      <w:r w:rsidRPr="0009561A">
        <w:rPr>
          <w:rFonts w:ascii="Calibri" w:hAnsi="Calibri" w:cs="Calibri"/>
          <w:lang w:val="en-US"/>
        </w:rPr>
        <w:t>Tenderers</w:t>
      </w:r>
      <w:proofErr w:type="spellEnd"/>
      <w:r w:rsidRPr="0009561A">
        <w:rPr>
          <w:rFonts w:ascii="Calibri" w:hAnsi="Calibri" w:cs="Calibri"/>
          <w:lang w:val="en-US"/>
        </w:rPr>
        <w:t xml:space="preserve"> are not </w:t>
      </w:r>
      <w:proofErr w:type="spellStart"/>
      <w:r w:rsidRPr="0009561A">
        <w:rPr>
          <w:rFonts w:ascii="Calibri" w:hAnsi="Calibri" w:cs="Calibri"/>
          <w:lang w:val="en-US"/>
        </w:rPr>
        <w:t>authorised</w:t>
      </w:r>
      <w:proofErr w:type="spellEnd"/>
      <w:r w:rsidRPr="0009561A">
        <w:rPr>
          <w:rFonts w:ascii="Calibri" w:hAnsi="Calibri" w:cs="Calibri"/>
          <w:lang w:val="en-US"/>
        </w:rPr>
        <w:t xml:space="preserve"> to tender for a variant in addition to this tender.</w:t>
      </w:r>
    </w:p>
    <w:p w:rsidR="005B57B2" w:rsidRPr="0009561A" w:rsidRDefault="005B57B2" w:rsidP="005B57B2">
      <w:pPr>
        <w:keepNext/>
        <w:keepLines/>
        <w:numPr>
          <w:ilvl w:val="0"/>
          <w:numId w:val="4"/>
        </w:numPr>
        <w:spacing w:before="120" w:after="120" w:line="240" w:lineRule="auto"/>
        <w:jc w:val="both"/>
        <w:rPr>
          <w:rFonts w:ascii="Calibri" w:hAnsi="Calibri" w:cs="Calibri"/>
          <w:b/>
          <w:sz w:val="24"/>
          <w:szCs w:val="24"/>
          <w:lang w:val="en-US"/>
        </w:rPr>
      </w:pPr>
      <w:r w:rsidRPr="0009561A">
        <w:rPr>
          <w:rFonts w:ascii="Calibri" w:hAnsi="Calibri" w:cs="Calibri"/>
          <w:b/>
          <w:sz w:val="24"/>
          <w:szCs w:val="24"/>
          <w:lang w:val="en-US"/>
        </w:rPr>
        <w:t>Period during which tenders are binding</w:t>
      </w:r>
    </w:p>
    <w:p w:rsidR="005B57B2" w:rsidRPr="0009561A" w:rsidRDefault="005B57B2" w:rsidP="005B57B2">
      <w:pPr>
        <w:keepNext/>
        <w:keepLines/>
        <w:spacing w:before="120" w:after="120"/>
        <w:jc w:val="both"/>
        <w:rPr>
          <w:rFonts w:ascii="Calibri" w:hAnsi="Calibri" w:cs="Calibri"/>
          <w:lang w:val="en-US"/>
        </w:rPr>
      </w:pPr>
      <w:r w:rsidRPr="0009561A">
        <w:rPr>
          <w:rFonts w:ascii="Calibri" w:hAnsi="Calibri" w:cs="Calibri"/>
          <w:lang w:val="en-US"/>
        </w:rPr>
        <w:t xml:space="preserve">Tenderers are bound by their tenders for 90 days after the deadline for submitting tenders or until they have been notified of non-award. </w:t>
      </w:r>
    </w:p>
    <w:p w:rsidR="005B57B2" w:rsidRPr="0009561A" w:rsidRDefault="005B57B2" w:rsidP="005B57B2">
      <w:pPr>
        <w:pStyle w:val="af"/>
        <w:keepNext/>
        <w:keepLines/>
        <w:tabs>
          <w:tab w:val="left" w:pos="567"/>
        </w:tabs>
        <w:spacing w:before="120" w:after="120"/>
        <w:jc w:val="both"/>
        <w:rPr>
          <w:rFonts w:ascii="Calibri" w:hAnsi="Calibri" w:cs="Calibri"/>
          <w:b/>
          <w:sz w:val="22"/>
          <w:szCs w:val="22"/>
        </w:rPr>
      </w:pPr>
      <w:r w:rsidRPr="0009561A">
        <w:rPr>
          <w:rFonts w:ascii="Calibri" w:hAnsi="Calibri" w:cs="Calibri"/>
          <w:sz w:val="22"/>
          <w:szCs w:val="22"/>
        </w:rPr>
        <w:t>The selected tenderer must maintain its tender for a further 60 days. A further period of 60 days is added to the validity period irrespective of the date of notification. This period can be further extended when the contracting authority is required to obtain the recommendation of the panel referred to in section 2.3.3.1 of the Practical Guide, up to the adoption of that recommendation.</w:t>
      </w:r>
    </w:p>
    <w:p w:rsidR="005B57B2" w:rsidRPr="0009561A" w:rsidRDefault="005B57B2" w:rsidP="005B57B2">
      <w:pPr>
        <w:keepNext/>
        <w:numPr>
          <w:ilvl w:val="0"/>
          <w:numId w:val="4"/>
        </w:numPr>
        <w:spacing w:before="120" w:after="120" w:line="240" w:lineRule="auto"/>
        <w:jc w:val="both"/>
        <w:rPr>
          <w:rFonts w:ascii="Calibri" w:hAnsi="Calibri" w:cs="Calibri"/>
          <w:b/>
          <w:sz w:val="24"/>
          <w:szCs w:val="24"/>
          <w:lang w:val="en-US"/>
        </w:rPr>
      </w:pPr>
      <w:r w:rsidRPr="0009561A">
        <w:rPr>
          <w:rFonts w:ascii="Calibri" w:hAnsi="Calibri" w:cs="Calibri"/>
          <w:b/>
          <w:sz w:val="24"/>
          <w:szCs w:val="24"/>
          <w:lang w:val="en-US"/>
        </w:rPr>
        <w:t>Additional information before the deadline for submitting tenders</w:t>
      </w:r>
    </w:p>
    <w:p w:rsidR="005B57B2" w:rsidRPr="0009561A" w:rsidRDefault="005B57B2" w:rsidP="005B57B2">
      <w:pPr>
        <w:spacing w:before="120" w:after="120"/>
        <w:jc w:val="both"/>
        <w:rPr>
          <w:rFonts w:ascii="Calibri" w:hAnsi="Calibri" w:cs="Calibri"/>
          <w:lang w:val="en-US"/>
        </w:rPr>
      </w:pPr>
      <w:r w:rsidRPr="0009561A">
        <w:rPr>
          <w:rFonts w:ascii="Calibri" w:hAnsi="Calibri" w:cs="Calibri"/>
          <w:lang w:val="en-US"/>
        </w:rPr>
        <w:t>The tender dossier should be clear enough to avoid candidates having to request additional information during the procedure. If the Contracting Authority, either on its own initiative or in response to a request from a tenderer, provides additional information on the tender dossier, it must send such information in writing to all the tenderers at the same time.</w:t>
      </w:r>
    </w:p>
    <w:p w:rsidR="005B57B2" w:rsidRPr="0009561A" w:rsidRDefault="005B57B2" w:rsidP="005B57B2">
      <w:pPr>
        <w:pStyle w:val="af"/>
        <w:spacing w:before="240"/>
        <w:rPr>
          <w:rFonts w:ascii="Calibri" w:hAnsi="Calibri" w:cs="Calibri"/>
          <w:sz w:val="22"/>
          <w:szCs w:val="22"/>
        </w:rPr>
      </w:pPr>
      <w:r w:rsidRPr="0009561A">
        <w:rPr>
          <w:rFonts w:ascii="Calibri" w:hAnsi="Calibri" w:cs="Calibri"/>
          <w:sz w:val="22"/>
          <w:szCs w:val="22"/>
        </w:rPr>
        <w:t xml:space="preserve">E-mail – </w:t>
      </w:r>
      <w:r w:rsidR="003D0869">
        <w:rPr>
          <w:rFonts w:ascii="Calibri" w:hAnsi="Calibri" w:cs="Calibri"/>
          <w:spacing w:val="-2"/>
          <w:sz w:val="20"/>
          <w:lang w:val="en-US"/>
        </w:rPr>
        <w:t>libalan@yandex.ru</w:t>
      </w:r>
    </w:p>
    <w:p w:rsidR="005B57B2" w:rsidRPr="0009561A" w:rsidRDefault="005B57B2" w:rsidP="005B57B2">
      <w:pPr>
        <w:pStyle w:val="af"/>
        <w:spacing w:before="120" w:after="120"/>
        <w:jc w:val="both"/>
        <w:rPr>
          <w:rFonts w:ascii="Calibri" w:hAnsi="Calibri" w:cs="Calibri"/>
          <w:sz w:val="22"/>
          <w:szCs w:val="22"/>
        </w:rPr>
      </w:pPr>
      <w:r w:rsidRPr="0009561A">
        <w:rPr>
          <w:rFonts w:ascii="Calibri" w:hAnsi="Calibri" w:cs="Calibri"/>
          <w:sz w:val="22"/>
          <w:szCs w:val="22"/>
        </w:rPr>
        <w:t>The Contracting Authority has no obligation to provide clarification after this date.</w:t>
      </w:r>
    </w:p>
    <w:p w:rsidR="005B57B2" w:rsidRPr="0009561A" w:rsidRDefault="005B57B2" w:rsidP="005B57B2">
      <w:pPr>
        <w:pStyle w:val="af"/>
        <w:spacing w:before="120" w:after="120"/>
        <w:jc w:val="both"/>
        <w:rPr>
          <w:rFonts w:ascii="Calibri" w:hAnsi="Calibri" w:cs="Calibri"/>
          <w:sz w:val="22"/>
          <w:szCs w:val="22"/>
        </w:rPr>
      </w:pPr>
      <w:r w:rsidRPr="0009561A">
        <w:rPr>
          <w:rFonts w:ascii="Calibri" w:hAnsi="Calibri" w:cs="Calibri"/>
          <w:sz w:val="22"/>
          <w:szCs w:val="22"/>
        </w:rPr>
        <w:t>Any tenderer seeking to arrange individual meetings with the Contracting Authority and/or the government of the partner country and/or the European Commission concerning this contract during the tender period may be excluded from the tender procedure.</w:t>
      </w:r>
    </w:p>
    <w:p w:rsidR="005B57B2" w:rsidRPr="0009561A" w:rsidRDefault="005B57B2" w:rsidP="005B57B2">
      <w:pPr>
        <w:pStyle w:val="af"/>
        <w:spacing w:before="120" w:after="120"/>
        <w:jc w:val="both"/>
        <w:rPr>
          <w:rFonts w:ascii="Calibri" w:hAnsi="Calibri" w:cs="Calibri"/>
          <w:sz w:val="22"/>
          <w:szCs w:val="22"/>
        </w:rPr>
      </w:pPr>
      <w:r w:rsidRPr="0009561A">
        <w:rPr>
          <w:rFonts w:ascii="Calibri" w:hAnsi="Calibri" w:cs="Calibri"/>
          <w:sz w:val="22"/>
          <w:szCs w:val="22"/>
        </w:rPr>
        <w:t xml:space="preserve">No information meeting or site visit is foreseen. </w:t>
      </w:r>
    </w:p>
    <w:p w:rsidR="005B57B2" w:rsidRPr="0009561A" w:rsidRDefault="005B57B2" w:rsidP="005B57B2">
      <w:pPr>
        <w:keepNext/>
        <w:numPr>
          <w:ilvl w:val="0"/>
          <w:numId w:val="4"/>
        </w:numPr>
        <w:spacing w:before="120" w:after="120" w:line="240" w:lineRule="auto"/>
        <w:jc w:val="both"/>
        <w:rPr>
          <w:rFonts w:ascii="Calibri" w:hAnsi="Calibri" w:cs="Calibri"/>
          <w:b/>
          <w:sz w:val="24"/>
          <w:szCs w:val="24"/>
        </w:rPr>
      </w:pPr>
      <w:bookmarkStart w:id="3" w:name="_Ref499614274"/>
      <w:bookmarkStart w:id="4" w:name="_Ref499982672"/>
      <w:r w:rsidRPr="0009561A">
        <w:rPr>
          <w:rFonts w:ascii="Calibri" w:hAnsi="Calibri" w:cs="Calibri"/>
          <w:b/>
          <w:sz w:val="24"/>
          <w:szCs w:val="24"/>
        </w:rPr>
        <w:lastRenderedPageBreak/>
        <w:t>Submission of tenders</w:t>
      </w:r>
      <w:bookmarkEnd w:id="3"/>
      <w:bookmarkEnd w:id="4"/>
    </w:p>
    <w:p w:rsidR="005B57B2" w:rsidRPr="0009561A" w:rsidRDefault="005B57B2" w:rsidP="005B57B2">
      <w:pPr>
        <w:spacing w:before="120" w:after="120"/>
        <w:jc w:val="both"/>
        <w:rPr>
          <w:rFonts w:ascii="Calibri" w:hAnsi="Calibri" w:cs="Calibri"/>
          <w:lang w:val="en-US"/>
        </w:rPr>
      </w:pPr>
      <w:r w:rsidRPr="0009561A">
        <w:rPr>
          <w:rFonts w:ascii="Calibri" w:hAnsi="Calibri" w:cs="Calibri"/>
          <w:lang w:val="en-US"/>
        </w:rPr>
        <w:t xml:space="preserve">Tenders must be delivered to the Contracting Authority for </w:t>
      </w:r>
      <w:r w:rsidRPr="0009561A">
        <w:rPr>
          <w:rFonts w:ascii="Calibri" w:hAnsi="Calibri" w:cs="Calibri"/>
          <w:b/>
          <w:lang w:val="en-US"/>
        </w:rPr>
        <w:t xml:space="preserve">receipt </w:t>
      </w:r>
      <w:r w:rsidRPr="0009561A">
        <w:rPr>
          <w:rFonts w:ascii="Calibri" w:hAnsi="Calibri" w:cs="Calibri"/>
          <w:lang w:val="en-US"/>
        </w:rPr>
        <w:t xml:space="preserve">before </w:t>
      </w:r>
      <w:r w:rsidR="0009561A" w:rsidRPr="0009561A">
        <w:rPr>
          <w:rFonts w:ascii="Calibri" w:hAnsi="Calibri" w:cs="Calibri"/>
          <w:lang w:val="en-US"/>
        </w:rPr>
        <w:t>10</w:t>
      </w:r>
      <w:r w:rsidR="003C2263" w:rsidRPr="0009561A">
        <w:rPr>
          <w:rFonts w:ascii="Calibri" w:hAnsi="Calibri" w:cs="Calibri"/>
          <w:lang w:val="en-US"/>
        </w:rPr>
        <w:t>.</w:t>
      </w:r>
      <w:r w:rsidR="0009561A" w:rsidRPr="0009561A">
        <w:rPr>
          <w:rFonts w:ascii="Calibri" w:hAnsi="Calibri" w:cs="Calibri"/>
          <w:lang w:val="en-US"/>
        </w:rPr>
        <w:t>05</w:t>
      </w:r>
      <w:r w:rsidRPr="0009561A">
        <w:rPr>
          <w:rFonts w:ascii="Calibri" w:hAnsi="Calibri" w:cs="Calibri"/>
          <w:lang w:val="en-US"/>
        </w:rPr>
        <w:t>.2018, 1</w:t>
      </w:r>
      <w:r w:rsidR="003C2263" w:rsidRPr="0009561A">
        <w:rPr>
          <w:rFonts w:ascii="Calibri" w:hAnsi="Calibri" w:cs="Calibri"/>
          <w:lang w:val="en-US"/>
        </w:rPr>
        <w:t>5</w:t>
      </w:r>
      <w:r w:rsidRPr="0009561A">
        <w:rPr>
          <w:rFonts w:ascii="Calibri" w:hAnsi="Calibri" w:cs="Calibri"/>
          <w:vertAlign w:val="superscript"/>
          <w:lang w:val="en-US"/>
        </w:rPr>
        <w:t>00</w:t>
      </w:r>
      <w:r w:rsidRPr="0009561A">
        <w:rPr>
          <w:rFonts w:ascii="Calibri" w:hAnsi="Calibri" w:cs="Calibri"/>
          <w:lang w:val="en-US"/>
        </w:rPr>
        <w:t xml:space="preserve">. Tenders must be delivered by email, at: </w:t>
      </w:r>
      <w:r w:rsidR="003D0869" w:rsidRPr="003D0869">
        <w:rPr>
          <w:rFonts w:ascii="Calibri" w:hAnsi="Calibri" w:cs="Calibri"/>
          <w:spacing w:val="-2"/>
          <w:sz w:val="20"/>
          <w:lang w:val="en-US"/>
        </w:rPr>
        <w:t>libalan@yande</w:t>
      </w:r>
      <w:r w:rsidR="003D0869">
        <w:rPr>
          <w:rFonts w:ascii="Calibri" w:hAnsi="Calibri" w:cs="Calibri"/>
          <w:spacing w:val="-2"/>
          <w:sz w:val="20"/>
          <w:lang w:val="en-US"/>
        </w:rPr>
        <w:t>x.ru</w:t>
      </w:r>
      <w:r w:rsidRPr="0009561A">
        <w:rPr>
          <w:rFonts w:ascii="Calibri" w:hAnsi="Calibri" w:cs="Calibri"/>
          <w:lang w:val="en-US"/>
        </w:rPr>
        <w:t xml:space="preserve">. Bidders will present their offers in a </w:t>
      </w:r>
      <w:r w:rsidR="003C2263" w:rsidRPr="0009561A">
        <w:rPr>
          <w:rFonts w:ascii="Calibri" w:hAnsi="Calibri" w:cs="Calibri"/>
          <w:lang w:val="en-US"/>
        </w:rPr>
        <w:t xml:space="preserve">two </w:t>
      </w:r>
      <w:r w:rsidRPr="0009561A">
        <w:rPr>
          <w:rFonts w:ascii="Calibri" w:hAnsi="Calibri" w:cs="Calibri"/>
          <w:lang w:val="en-US"/>
        </w:rPr>
        <w:t>password p</w:t>
      </w:r>
      <w:r w:rsidR="003C2263" w:rsidRPr="0009561A">
        <w:rPr>
          <w:rFonts w:ascii="Calibri" w:hAnsi="Calibri" w:cs="Calibri"/>
          <w:lang w:val="en-US"/>
        </w:rPr>
        <w:t xml:space="preserve">rotected file/archive/document: one for </w:t>
      </w:r>
      <w:proofErr w:type="gramStart"/>
      <w:r w:rsidR="003C2263" w:rsidRPr="0009561A">
        <w:rPr>
          <w:rFonts w:ascii="Calibri" w:hAnsi="Calibri" w:cs="Calibri"/>
          <w:lang w:val="en-US"/>
        </w:rPr>
        <w:t>Financial</w:t>
      </w:r>
      <w:proofErr w:type="gramEnd"/>
      <w:r w:rsidR="003C2263" w:rsidRPr="0009561A">
        <w:rPr>
          <w:rFonts w:ascii="Calibri" w:hAnsi="Calibri" w:cs="Calibri"/>
          <w:lang w:val="en-US"/>
        </w:rPr>
        <w:t xml:space="preserve"> offer and one for Technical offer.</w:t>
      </w:r>
    </w:p>
    <w:p w:rsidR="005B57B2" w:rsidRPr="0009561A" w:rsidRDefault="005B57B2" w:rsidP="005B57B2">
      <w:pPr>
        <w:spacing w:before="120" w:after="120"/>
        <w:jc w:val="both"/>
        <w:rPr>
          <w:rFonts w:ascii="Calibri" w:hAnsi="Calibri" w:cs="Calibri"/>
          <w:lang w:val="en-US"/>
        </w:rPr>
      </w:pPr>
      <w:r w:rsidRPr="0009561A">
        <w:rPr>
          <w:rFonts w:ascii="Calibri" w:hAnsi="Calibri" w:cs="Calibri"/>
          <w:b/>
          <w:lang w:val="en-US"/>
        </w:rPr>
        <w:t>Any infringement of these rules (e.g., unsealed envelopes or references to price in the technical offer) constitutes an irregularity which will lead to rejection of the tender.</w:t>
      </w:r>
      <w:r w:rsidRPr="0009561A">
        <w:rPr>
          <w:rFonts w:ascii="Calibri" w:hAnsi="Calibri" w:cs="Calibri"/>
          <w:lang w:val="en-US"/>
        </w:rPr>
        <w:t xml:space="preserve"> </w:t>
      </w:r>
    </w:p>
    <w:p w:rsidR="005B57B2" w:rsidRPr="0009561A" w:rsidRDefault="005B57B2" w:rsidP="005B57B2">
      <w:pPr>
        <w:spacing w:before="120" w:after="120"/>
        <w:jc w:val="both"/>
        <w:rPr>
          <w:rFonts w:ascii="Calibri" w:hAnsi="Calibri" w:cs="Calibri"/>
          <w:lang w:val="en-US"/>
        </w:rPr>
      </w:pPr>
      <w:r w:rsidRPr="0009561A">
        <w:rPr>
          <w:rFonts w:ascii="Calibri" w:hAnsi="Calibri" w:cs="Calibri"/>
          <w:lang w:val="en-US"/>
        </w:rPr>
        <w:t xml:space="preserve">The bidders should provide the following information, when submitting the tender: </w:t>
      </w:r>
    </w:p>
    <w:p w:rsidR="005B57B2" w:rsidRPr="0009561A" w:rsidRDefault="005B57B2" w:rsidP="005B57B2">
      <w:pPr>
        <w:numPr>
          <w:ilvl w:val="0"/>
          <w:numId w:val="3"/>
        </w:numPr>
        <w:tabs>
          <w:tab w:val="clear" w:pos="861"/>
        </w:tabs>
        <w:spacing w:before="120" w:after="120" w:line="240" w:lineRule="auto"/>
        <w:ind w:left="426" w:hanging="284"/>
        <w:rPr>
          <w:rFonts w:ascii="Calibri" w:hAnsi="Calibri" w:cs="Calibri"/>
          <w:lang w:val="en-US"/>
        </w:rPr>
      </w:pPr>
      <w:proofErr w:type="gramStart"/>
      <w:r w:rsidRPr="0009561A">
        <w:rPr>
          <w:rFonts w:ascii="Calibri" w:hAnsi="Calibri" w:cs="Calibri"/>
          <w:lang w:val="en-US"/>
        </w:rPr>
        <w:t>the</w:t>
      </w:r>
      <w:proofErr w:type="gramEnd"/>
      <w:r w:rsidRPr="0009561A">
        <w:rPr>
          <w:rFonts w:ascii="Calibri" w:hAnsi="Calibri" w:cs="Calibri"/>
          <w:lang w:val="en-US"/>
        </w:rPr>
        <w:t xml:space="preserve"> reference code </w:t>
      </w:r>
      <w:r w:rsidR="003C2263" w:rsidRPr="0009561A">
        <w:rPr>
          <w:rFonts w:ascii="Calibri" w:hAnsi="Calibri" w:cs="Calibri"/>
          <w:lang w:val="en-US"/>
        </w:rPr>
        <w:t xml:space="preserve">of the tender procedure – </w:t>
      </w:r>
      <w:r w:rsidR="00D56EFE" w:rsidRPr="0009561A">
        <w:rPr>
          <w:rFonts w:ascii="Calibri" w:hAnsi="Calibri" w:cs="Calibri"/>
          <w:lang w:val="en-US"/>
        </w:rPr>
        <w:t>P - 1</w:t>
      </w:r>
      <w:r w:rsidRPr="0009561A">
        <w:rPr>
          <w:rFonts w:ascii="Calibri" w:hAnsi="Calibri" w:cs="Calibri"/>
          <w:lang w:val="en-US"/>
        </w:rPr>
        <w:t xml:space="preserve">,  the indication: “Do not be open the attachment until </w:t>
      </w:r>
      <w:r w:rsidR="0009561A" w:rsidRPr="0009561A">
        <w:rPr>
          <w:rFonts w:ascii="Calibri" w:hAnsi="Calibri" w:cs="Calibri"/>
          <w:lang w:val="en-US"/>
        </w:rPr>
        <w:t>11.05.2018</w:t>
      </w:r>
      <w:r w:rsidRPr="0009561A">
        <w:rPr>
          <w:rFonts w:ascii="Calibri" w:hAnsi="Calibri" w:cs="Calibri"/>
          <w:lang w:val="en-US"/>
        </w:rPr>
        <w:t xml:space="preserve">, hour </w:t>
      </w:r>
      <w:r w:rsidR="0009561A" w:rsidRPr="0009561A">
        <w:rPr>
          <w:rFonts w:ascii="Calibri" w:hAnsi="Calibri" w:cs="Calibri"/>
          <w:lang w:val="en-US"/>
        </w:rPr>
        <w:t>11.00</w:t>
      </w:r>
      <w:r w:rsidRPr="0009561A">
        <w:rPr>
          <w:rFonts w:ascii="Calibri" w:hAnsi="Calibri" w:cs="Calibri"/>
          <w:lang w:val="en-US"/>
        </w:rPr>
        <w:t>”.</w:t>
      </w:r>
    </w:p>
    <w:p w:rsidR="005B57B2" w:rsidRPr="0009561A" w:rsidRDefault="005B57B2" w:rsidP="005B57B2">
      <w:pPr>
        <w:numPr>
          <w:ilvl w:val="0"/>
          <w:numId w:val="3"/>
        </w:numPr>
        <w:tabs>
          <w:tab w:val="clear" w:pos="861"/>
        </w:tabs>
        <w:spacing w:before="120" w:after="120" w:line="240" w:lineRule="auto"/>
        <w:ind w:left="426" w:hanging="284"/>
        <w:rPr>
          <w:rFonts w:ascii="Calibri" w:hAnsi="Calibri" w:cs="Calibri"/>
          <w:lang w:val="en-US"/>
        </w:rPr>
      </w:pPr>
      <w:r w:rsidRPr="0009561A">
        <w:rPr>
          <w:rFonts w:ascii="Calibri" w:hAnsi="Calibri" w:cs="Calibri"/>
          <w:lang w:val="en-US"/>
        </w:rPr>
        <w:t xml:space="preserve">the words ‘Not to be opened before the tender-opening session’ </w:t>
      </w:r>
    </w:p>
    <w:p w:rsidR="005B57B2" w:rsidRPr="0009561A" w:rsidRDefault="005B57B2" w:rsidP="005B57B2">
      <w:pPr>
        <w:numPr>
          <w:ilvl w:val="0"/>
          <w:numId w:val="3"/>
        </w:numPr>
        <w:tabs>
          <w:tab w:val="clear" w:pos="861"/>
        </w:tabs>
        <w:spacing w:before="120" w:after="120" w:line="240" w:lineRule="auto"/>
        <w:ind w:left="426" w:hanging="284"/>
        <w:rPr>
          <w:rFonts w:ascii="Calibri" w:hAnsi="Calibri" w:cs="Calibri"/>
          <w:lang w:val="en-US"/>
        </w:rPr>
      </w:pPr>
      <w:r w:rsidRPr="0009561A">
        <w:rPr>
          <w:rFonts w:ascii="Calibri" w:hAnsi="Calibri" w:cs="Calibri"/>
          <w:lang w:val="en-US"/>
        </w:rPr>
        <w:t>the name of the tenderer.</w:t>
      </w:r>
    </w:p>
    <w:p w:rsidR="005B57B2" w:rsidRPr="0009561A" w:rsidRDefault="005B57B2" w:rsidP="005B57B2">
      <w:pPr>
        <w:keepNext/>
        <w:numPr>
          <w:ilvl w:val="0"/>
          <w:numId w:val="4"/>
        </w:numPr>
        <w:spacing w:before="120" w:after="120" w:line="240" w:lineRule="auto"/>
        <w:jc w:val="both"/>
        <w:rPr>
          <w:rFonts w:ascii="Calibri" w:hAnsi="Calibri" w:cs="Calibri"/>
          <w:b/>
          <w:sz w:val="24"/>
          <w:szCs w:val="24"/>
        </w:rPr>
      </w:pPr>
      <w:r w:rsidRPr="0009561A">
        <w:rPr>
          <w:rFonts w:ascii="Calibri" w:hAnsi="Calibri" w:cs="Calibri"/>
          <w:b/>
          <w:sz w:val="24"/>
          <w:szCs w:val="24"/>
        </w:rPr>
        <w:t>Amending or withdrawing tenders</w:t>
      </w:r>
    </w:p>
    <w:p w:rsidR="005B57B2" w:rsidRPr="0009561A" w:rsidRDefault="005B57B2" w:rsidP="005B57B2">
      <w:pPr>
        <w:spacing w:before="120" w:after="120"/>
        <w:jc w:val="both"/>
        <w:rPr>
          <w:rFonts w:ascii="Calibri" w:hAnsi="Calibri" w:cs="Calibri"/>
          <w:lang w:val="en-US"/>
        </w:rPr>
      </w:pPr>
      <w:r w:rsidRPr="0009561A">
        <w:rPr>
          <w:rFonts w:ascii="Calibri" w:hAnsi="Calibri" w:cs="Calibri"/>
          <w:lang w:val="en-US"/>
        </w:rPr>
        <w:t>Tenderers may amend or withdraw their tenders by written notification, by email, prior to the deadline for submitting tenders. Tenders may not be amended after this deadline.</w:t>
      </w:r>
    </w:p>
    <w:p w:rsidR="005B57B2" w:rsidRPr="0009561A" w:rsidRDefault="005B57B2" w:rsidP="005B57B2">
      <w:pPr>
        <w:spacing w:before="120" w:after="120"/>
        <w:jc w:val="both"/>
        <w:rPr>
          <w:rFonts w:ascii="Calibri" w:hAnsi="Calibri" w:cs="Calibri"/>
          <w:lang w:val="en-US"/>
        </w:rPr>
      </w:pPr>
      <w:r w:rsidRPr="0009561A">
        <w:rPr>
          <w:rFonts w:ascii="Calibri" w:hAnsi="Calibri" w:cs="Calibri"/>
          <w:lang w:val="en-US"/>
        </w:rPr>
        <w:t xml:space="preserve">Any such notification of amendment or withdrawal must be prepared and submitted in accordance with Clause </w:t>
      </w:r>
      <w:fldSimple w:instr=" REF _Ref499982672 \r \h  \* MERGEFORMAT ">
        <w:r w:rsidRPr="0009561A">
          <w:rPr>
            <w:rFonts w:ascii="Calibri" w:hAnsi="Calibri" w:cs="Calibri"/>
            <w:lang w:val="en-US"/>
          </w:rPr>
          <w:t>8</w:t>
        </w:r>
      </w:fldSimple>
      <w:r w:rsidRPr="0009561A">
        <w:rPr>
          <w:rFonts w:ascii="Calibri" w:hAnsi="Calibri" w:cs="Calibri"/>
          <w:lang w:val="en-US"/>
        </w:rPr>
        <w:t>. The email should have a ‘Amendment’ or ‘Withdrawal’ as appropriate.</w:t>
      </w:r>
    </w:p>
    <w:p w:rsidR="005B57B2" w:rsidRPr="0009561A" w:rsidRDefault="005B57B2" w:rsidP="005B57B2">
      <w:pPr>
        <w:keepNext/>
        <w:keepLines/>
        <w:numPr>
          <w:ilvl w:val="0"/>
          <w:numId w:val="4"/>
        </w:numPr>
        <w:spacing w:before="120" w:after="120" w:line="240" w:lineRule="auto"/>
        <w:jc w:val="both"/>
        <w:rPr>
          <w:rFonts w:ascii="Calibri" w:hAnsi="Calibri" w:cs="Calibri"/>
          <w:b/>
          <w:sz w:val="24"/>
          <w:szCs w:val="24"/>
        </w:rPr>
      </w:pPr>
      <w:r w:rsidRPr="0009561A">
        <w:rPr>
          <w:rFonts w:ascii="Calibri" w:hAnsi="Calibri" w:cs="Calibri"/>
          <w:b/>
          <w:sz w:val="24"/>
          <w:szCs w:val="24"/>
        </w:rPr>
        <w:t>Costs for preparing tenders</w:t>
      </w:r>
    </w:p>
    <w:p w:rsidR="005B57B2" w:rsidRPr="0009561A" w:rsidRDefault="005B57B2" w:rsidP="005B57B2">
      <w:pPr>
        <w:keepNext/>
        <w:keepLines/>
        <w:spacing w:before="120" w:after="120"/>
        <w:jc w:val="both"/>
        <w:rPr>
          <w:rFonts w:ascii="Calibri" w:hAnsi="Calibri" w:cs="Calibri"/>
          <w:lang w:val="en-US"/>
        </w:rPr>
      </w:pPr>
      <w:r w:rsidRPr="0009561A">
        <w:rPr>
          <w:rFonts w:ascii="Calibri" w:hAnsi="Calibri" w:cs="Calibri"/>
          <w:lang w:val="en-US"/>
        </w:rPr>
        <w:t>No costs incurred by the tenderer in preparing and submitting the tender are reimbursable. All such costs must be borne by the tenderer, including the cost of interviewing proposed experts.</w:t>
      </w:r>
    </w:p>
    <w:p w:rsidR="005B57B2" w:rsidRPr="0009561A" w:rsidRDefault="005B57B2" w:rsidP="005B57B2">
      <w:pPr>
        <w:numPr>
          <w:ilvl w:val="0"/>
          <w:numId w:val="4"/>
        </w:numPr>
        <w:spacing w:before="120" w:after="120" w:line="240" w:lineRule="auto"/>
        <w:jc w:val="both"/>
        <w:rPr>
          <w:rFonts w:ascii="Calibri" w:hAnsi="Calibri" w:cs="Calibri"/>
          <w:b/>
          <w:sz w:val="24"/>
          <w:szCs w:val="24"/>
        </w:rPr>
      </w:pPr>
      <w:r w:rsidRPr="0009561A">
        <w:rPr>
          <w:rFonts w:ascii="Calibri" w:hAnsi="Calibri" w:cs="Calibri"/>
          <w:b/>
          <w:sz w:val="24"/>
          <w:szCs w:val="24"/>
        </w:rPr>
        <w:t>Ownership of tenders</w:t>
      </w:r>
    </w:p>
    <w:p w:rsidR="005B57B2" w:rsidRPr="0009561A" w:rsidRDefault="005B57B2" w:rsidP="005B57B2">
      <w:pPr>
        <w:spacing w:before="120" w:after="120"/>
        <w:jc w:val="both"/>
        <w:rPr>
          <w:rFonts w:ascii="Calibri" w:hAnsi="Calibri" w:cs="Calibri"/>
          <w:lang w:val="en-US"/>
        </w:rPr>
      </w:pPr>
      <w:r w:rsidRPr="0009561A">
        <w:rPr>
          <w:rFonts w:ascii="Calibri" w:hAnsi="Calibri" w:cs="Calibri"/>
          <w:lang w:val="en-US"/>
        </w:rPr>
        <w:t>The Contracting Authority retains ownership of all tenders received under this tendering procedure. Consequently, tenderers do not have the right to have their tenders returned to them.</w:t>
      </w:r>
    </w:p>
    <w:p w:rsidR="005B57B2" w:rsidRPr="0009561A" w:rsidRDefault="005B57B2" w:rsidP="005B57B2">
      <w:pPr>
        <w:numPr>
          <w:ilvl w:val="0"/>
          <w:numId w:val="4"/>
        </w:numPr>
        <w:spacing w:before="120" w:after="120" w:line="240" w:lineRule="auto"/>
        <w:jc w:val="both"/>
        <w:rPr>
          <w:rFonts w:ascii="Calibri" w:hAnsi="Calibri" w:cs="Calibri"/>
          <w:b/>
          <w:sz w:val="24"/>
          <w:szCs w:val="24"/>
        </w:rPr>
      </w:pPr>
      <w:r w:rsidRPr="0009561A">
        <w:rPr>
          <w:rFonts w:ascii="Calibri" w:hAnsi="Calibri" w:cs="Calibri"/>
          <w:b/>
          <w:sz w:val="24"/>
          <w:szCs w:val="24"/>
        </w:rPr>
        <w:t>Evaluation of tenders</w:t>
      </w:r>
    </w:p>
    <w:p w:rsidR="005B57B2" w:rsidRPr="0009561A" w:rsidRDefault="005B57B2" w:rsidP="005B57B2">
      <w:pPr>
        <w:spacing w:before="120" w:after="120"/>
        <w:jc w:val="both"/>
        <w:rPr>
          <w:rFonts w:ascii="Calibri" w:hAnsi="Calibri" w:cs="Calibri"/>
          <w:b/>
        </w:rPr>
      </w:pPr>
      <w:r w:rsidRPr="0009561A">
        <w:rPr>
          <w:rFonts w:ascii="Calibri" w:hAnsi="Calibri" w:cs="Calibri"/>
          <w:b/>
        </w:rPr>
        <w:t>12.1.</w:t>
      </w:r>
      <w:r w:rsidRPr="0009561A">
        <w:rPr>
          <w:rFonts w:ascii="Calibri" w:hAnsi="Calibri" w:cs="Calibri"/>
          <w:b/>
        </w:rPr>
        <w:tab/>
        <w:t>Evaluation of technical offers</w:t>
      </w:r>
    </w:p>
    <w:p w:rsidR="005B57B2" w:rsidRPr="0009561A" w:rsidRDefault="005B57B2" w:rsidP="005B57B2">
      <w:pPr>
        <w:spacing w:before="120" w:after="120"/>
        <w:jc w:val="both"/>
        <w:rPr>
          <w:rFonts w:ascii="Calibri" w:hAnsi="Calibri" w:cs="Calibri"/>
          <w:lang w:val="en-US"/>
        </w:rPr>
      </w:pPr>
      <w:r w:rsidRPr="0009561A">
        <w:rPr>
          <w:rFonts w:ascii="Calibri" w:hAnsi="Calibri" w:cs="Calibri"/>
          <w:lang w:val="en-US"/>
        </w:rPr>
        <w:t>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Terms of Reference.</w:t>
      </w:r>
    </w:p>
    <w:p w:rsidR="005B57B2" w:rsidRPr="0009561A" w:rsidRDefault="005B57B2" w:rsidP="005B57B2">
      <w:pPr>
        <w:pStyle w:val="af"/>
        <w:spacing w:before="120" w:after="120"/>
        <w:jc w:val="both"/>
        <w:rPr>
          <w:rFonts w:ascii="Calibri" w:hAnsi="Calibri" w:cs="Calibri"/>
          <w:sz w:val="22"/>
          <w:szCs w:val="22"/>
        </w:rPr>
      </w:pPr>
      <w:r w:rsidRPr="0009561A">
        <w:rPr>
          <w:rFonts w:ascii="Calibri" w:hAnsi="Calibri" w:cs="Calibri"/>
          <w:sz w:val="22"/>
          <w:szCs w:val="22"/>
        </w:rPr>
        <w:t>The evaluation of the technical offers will follow the procedures set out in Section 3.3.10 of the Practical Guide (available on the internet at</w:t>
      </w:r>
    </w:p>
    <w:p w:rsidR="005B57B2" w:rsidRPr="0009561A" w:rsidRDefault="000449E9" w:rsidP="005B57B2">
      <w:pPr>
        <w:pStyle w:val="af"/>
        <w:spacing w:before="120" w:after="120"/>
        <w:jc w:val="both"/>
        <w:rPr>
          <w:rFonts w:ascii="Calibri" w:hAnsi="Calibri" w:cs="Calibri"/>
          <w:sz w:val="22"/>
          <w:szCs w:val="22"/>
        </w:rPr>
      </w:pPr>
      <w:hyperlink r:id="rId10" w:history="1">
        <w:r w:rsidR="005B57B2" w:rsidRPr="0009561A">
          <w:rPr>
            <w:rStyle w:val="aa"/>
            <w:rFonts w:ascii="Calibri" w:hAnsi="Calibri" w:cs="Calibri"/>
            <w:sz w:val="22"/>
            <w:szCs w:val="22"/>
          </w:rPr>
          <w:t>http://ec.europa.eu/europeaid/prag/document.do</w:t>
        </w:r>
      </w:hyperlink>
      <w:r w:rsidR="005B57B2" w:rsidRPr="0009561A">
        <w:rPr>
          <w:rFonts w:ascii="Calibri" w:hAnsi="Calibri" w:cs="Calibri"/>
          <w:sz w:val="22"/>
          <w:szCs w:val="22"/>
        </w:rPr>
        <w:t>).</w:t>
      </w:r>
    </w:p>
    <w:p w:rsidR="005B57B2" w:rsidRPr="0009561A" w:rsidRDefault="005B57B2" w:rsidP="005B57B2">
      <w:pPr>
        <w:spacing w:before="120" w:after="120"/>
        <w:jc w:val="both"/>
        <w:rPr>
          <w:rFonts w:ascii="Calibri" w:hAnsi="Calibri" w:cs="Calibri"/>
          <w:b/>
          <w:iCs/>
          <w:lang w:val="en-US"/>
        </w:rPr>
      </w:pPr>
      <w:r w:rsidRPr="0009561A">
        <w:rPr>
          <w:rFonts w:ascii="Calibri" w:hAnsi="Calibri" w:cs="Calibri"/>
          <w:b/>
          <w:iCs/>
          <w:lang w:val="en-US"/>
        </w:rPr>
        <w:t>12.1.1.</w:t>
      </w:r>
      <w:r w:rsidRPr="0009561A">
        <w:rPr>
          <w:rFonts w:ascii="Calibri" w:hAnsi="Calibri" w:cs="Calibri"/>
          <w:b/>
          <w:iCs/>
          <w:lang w:val="en-US"/>
        </w:rPr>
        <w:tab/>
        <w:t xml:space="preserve">Interviews </w:t>
      </w:r>
    </w:p>
    <w:p w:rsidR="005B57B2" w:rsidRPr="0009561A" w:rsidRDefault="005B57B2" w:rsidP="005B57B2">
      <w:pPr>
        <w:spacing w:before="120" w:after="120"/>
        <w:jc w:val="both"/>
        <w:rPr>
          <w:rFonts w:ascii="Calibri" w:hAnsi="Calibri" w:cs="Calibri"/>
          <w:lang w:val="en-US"/>
        </w:rPr>
      </w:pPr>
      <w:r w:rsidRPr="0009561A">
        <w:rPr>
          <w:rFonts w:ascii="Calibri" w:hAnsi="Calibri" w:cs="Calibri"/>
          <w:lang w:val="en-US"/>
        </w:rPr>
        <w:t xml:space="preserve">No interviews are foreseen. </w:t>
      </w:r>
    </w:p>
    <w:p w:rsidR="005B57B2" w:rsidRPr="0009561A" w:rsidRDefault="005B57B2" w:rsidP="005B57B2">
      <w:pPr>
        <w:keepNext/>
        <w:spacing w:before="120" w:after="120"/>
        <w:jc w:val="both"/>
        <w:rPr>
          <w:rFonts w:ascii="Calibri" w:hAnsi="Calibri" w:cs="Calibri"/>
          <w:b/>
          <w:lang w:val="en-US"/>
        </w:rPr>
      </w:pPr>
      <w:r w:rsidRPr="0009561A">
        <w:rPr>
          <w:rFonts w:ascii="Calibri" w:hAnsi="Calibri" w:cs="Calibri"/>
          <w:b/>
          <w:lang w:val="en-US"/>
        </w:rPr>
        <w:t>12.2.</w:t>
      </w:r>
      <w:r w:rsidRPr="0009561A">
        <w:rPr>
          <w:rFonts w:ascii="Calibri" w:hAnsi="Calibri" w:cs="Calibri"/>
          <w:b/>
          <w:lang w:val="en-US"/>
        </w:rPr>
        <w:tab/>
        <w:t>Evaluation of financial offers</w:t>
      </w:r>
    </w:p>
    <w:p w:rsidR="005B57B2" w:rsidRPr="0009561A" w:rsidRDefault="005B57B2" w:rsidP="005B57B2">
      <w:pPr>
        <w:spacing w:before="120" w:after="120"/>
        <w:jc w:val="both"/>
        <w:rPr>
          <w:rFonts w:ascii="Calibri" w:hAnsi="Calibri" w:cs="Calibri"/>
          <w:lang w:val="en-US"/>
        </w:rPr>
      </w:pPr>
      <w:r w:rsidRPr="0009561A">
        <w:rPr>
          <w:rFonts w:ascii="Calibri" w:hAnsi="Calibri" w:cs="Calibri"/>
          <w:lang w:val="en-US"/>
        </w:rPr>
        <w:t xml:space="preserve">The financial offers for tenders that were not eliminated during the technical evaluation will be </w:t>
      </w:r>
      <w:proofErr w:type="spellStart"/>
      <w:r w:rsidRPr="0009561A">
        <w:rPr>
          <w:rFonts w:ascii="Calibri" w:hAnsi="Calibri" w:cs="Calibri"/>
          <w:lang w:val="en-US"/>
        </w:rPr>
        <w:t>analysed</w:t>
      </w:r>
      <w:proofErr w:type="spellEnd"/>
      <w:r w:rsidRPr="0009561A">
        <w:rPr>
          <w:rFonts w:ascii="Calibri" w:hAnsi="Calibri" w:cs="Calibri"/>
          <w:lang w:val="en-US"/>
        </w:rPr>
        <w:t xml:space="preserve"> (i.e. those with an average score of 75 points or more). Tenders exceeding the maximum budget available for the contract are unacceptable and will be eliminated.</w:t>
      </w:r>
    </w:p>
    <w:p w:rsidR="005B57B2" w:rsidRPr="0009561A" w:rsidRDefault="005B57B2" w:rsidP="005B57B2">
      <w:pPr>
        <w:keepNext/>
        <w:spacing w:before="120" w:after="120"/>
        <w:jc w:val="both"/>
        <w:rPr>
          <w:rFonts w:ascii="Calibri" w:hAnsi="Calibri" w:cs="Calibri"/>
          <w:b/>
          <w:u w:val="single"/>
          <w:lang w:val="en-US"/>
        </w:rPr>
      </w:pPr>
      <w:r w:rsidRPr="0009561A">
        <w:rPr>
          <w:rFonts w:ascii="Calibri" w:hAnsi="Calibri" w:cs="Calibri"/>
          <w:b/>
          <w:lang w:val="en-US"/>
        </w:rPr>
        <w:lastRenderedPageBreak/>
        <w:t>12.3.</w:t>
      </w:r>
      <w:r w:rsidRPr="0009561A">
        <w:rPr>
          <w:rFonts w:ascii="Calibri" w:hAnsi="Calibri" w:cs="Calibri"/>
          <w:b/>
          <w:lang w:val="en-US"/>
        </w:rPr>
        <w:tab/>
        <w:t>Choice of selected tenderer</w:t>
      </w:r>
      <w:r w:rsidRPr="0009561A">
        <w:rPr>
          <w:rFonts w:ascii="Calibri" w:hAnsi="Calibri" w:cs="Calibri"/>
          <w:b/>
          <w:u w:val="single"/>
          <w:lang w:val="en-US"/>
        </w:rPr>
        <w:t xml:space="preserve"> </w:t>
      </w:r>
    </w:p>
    <w:p w:rsidR="005B57B2" w:rsidRPr="0009561A" w:rsidRDefault="00F02B65" w:rsidP="005B57B2">
      <w:pPr>
        <w:spacing w:before="120" w:after="120"/>
        <w:jc w:val="both"/>
        <w:rPr>
          <w:rFonts w:ascii="Calibri" w:hAnsi="Calibri" w:cs="Calibri"/>
          <w:lang w:val="en-US"/>
        </w:rPr>
      </w:pPr>
      <w:r>
        <w:rPr>
          <w:rFonts w:ascii="Calibri" w:hAnsi="Calibri" w:cs="Calibri"/>
          <w:lang w:val="en-US"/>
        </w:rPr>
        <w:t>Best price</w:t>
      </w:r>
    </w:p>
    <w:p w:rsidR="005B57B2" w:rsidRPr="0009561A" w:rsidRDefault="005B57B2" w:rsidP="005B57B2">
      <w:pPr>
        <w:keepNext/>
        <w:spacing w:before="120" w:after="120"/>
        <w:jc w:val="both"/>
        <w:rPr>
          <w:rFonts w:ascii="Calibri" w:hAnsi="Calibri" w:cs="Calibri"/>
          <w:b/>
          <w:lang w:val="en-US"/>
        </w:rPr>
      </w:pPr>
      <w:r w:rsidRPr="0009561A">
        <w:rPr>
          <w:rFonts w:ascii="Calibri" w:hAnsi="Calibri" w:cs="Calibri"/>
          <w:b/>
          <w:lang w:val="en-US"/>
        </w:rPr>
        <w:t>12.4.</w:t>
      </w:r>
      <w:r w:rsidRPr="0009561A">
        <w:rPr>
          <w:rFonts w:ascii="Calibri" w:hAnsi="Calibri" w:cs="Calibri"/>
          <w:b/>
          <w:lang w:val="en-US"/>
        </w:rPr>
        <w:tab/>
        <w:t>Confidentiality</w:t>
      </w:r>
    </w:p>
    <w:p w:rsidR="005B57B2" w:rsidRPr="0009561A" w:rsidRDefault="005B57B2" w:rsidP="005B57B2">
      <w:pPr>
        <w:spacing w:before="120" w:after="120"/>
        <w:jc w:val="both"/>
        <w:rPr>
          <w:rFonts w:ascii="Calibri" w:hAnsi="Calibri" w:cs="Calibri"/>
          <w:lang w:val="en-US"/>
        </w:rPr>
      </w:pPr>
      <w:r w:rsidRPr="0009561A">
        <w:rPr>
          <w:rFonts w:ascii="Calibri" w:hAnsi="Calibri" w:cs="Calibri"/>
          <w:lang w:val="en-US"/>
        </w:rPr>
        <w:t>The entire evaluation procedure is confidential, subject to the Contracting Authority’s legislation on access to documents. The Evaluation Committee’s decisions are collective and its deliberations are held in closed session. The members of the Evaluation Committee are bound to secrecy. The evaluation reports and written records are for official use only and may be communicated neither to the tenderers nor to any party other than the Contracting Authority, the European Commission, the European Anti-Fraud Office and the European Court of Auditors.</w:t>
      </w:r>
    </w:p>
    <w:p w:rsidR="005B57B2" w:rsidRPr="0009561A" w:rsidRDefault="005B57B2" w:rsidP="005B57B2">
      <w:pPr>
        <w:keepNext/>
        <w:numPr>
          <w:ilvl w:val="0"/>
          <w:numId w:val="4"/>
        </w:numPr>
        <w:spacing w:before="120" w:after="120" w:line="240" w:lineRule="auto"/>
        <w:jc w:val="both"/>
        <w:rPr>
          <w:rFonts w:ascii="Calibri" w:hAnsi="Calibri" w:cs="Calibri"/>
          <w:b/>
          <w:sz w:val="24"/>
          <w:szCs w:val="24"/>
        </w:rPr>
      </w:pPr>
      <w:r w:rsidRPr="0009561A">
        <w:rPr>
          <w:rFonts w:ascii="Calibri" w:hAnsi="Calibri" w:cs="Calibri"/>
          <w:b/>
          <w:sz w:val="24"/>
          <w:szCs w:val="24"/>
        </w:rPr>
        <w:t>Ethics clauses / Corruptive practices</w:t>
      </w:r>
    </w:p>
    <w:p w:rsidR="005B57B2" w:rsidRPr="0009561A" w:rsidRDefault="005B57B2" w:rsidP="005B57B2">
      <w:pPr>
        <w:spacing w:before="120" w:after="120"/>
        <w:ind w:left="567" w:hanging="567"/>
        <w:jc w:val="both"/>
        <w:rPr>
          <w:rFonts w:ascii="Calibri" w:hAnsi="Calibri" w:cs="Calibri"/>
          <w:lang w:val="en-US"/>
        </w:rPr>
      </w:pPr>
      <w:r w:rsidRPr="0009561A">
        <w:rPr>
          <w:rFonts w:ascii="Calibri" w:hAnsi="Calibri" w:cs="Calibri"/>
          <w:lang w:val="en-US"/>
        </w:rPr>
        <w:t>a)</w:t>
      </w:r>
      <w:r w:rsidRPr="0009561A">
        <w:rPr>
          <w:rFonts w:ascii="Calibri" w:hAnsi="Calibri" w:cs="Calibri"/>
          <w:lang w:val="en-US"/>
        </w:rPr>
        <w:tab/>
        <w:t>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w:t>
      </w:r>
    </w:p>
    <w:p w:rsidR="005B57B2" w:rsidRPr="0009561A" w:rsidRDefault="005B57B2" w:rsidP="005B57B2">
      <w:pPr>
        <w:spacing w:before="120" w:after="120"/>
        <w:ind w:left="567" w:hanging="567"/>
        <w:jc w:val="both"/>
        <w:rPr>
          <w:rFonts w:ascii="Calibri" w:hAnsi="Calibri" w:cs="Calibri"/>
          <w:lang w:val="en-US"/>
        </w:rPr>
      </w:pPr>
      <w:r w:rsidRPr="0009561A">
        <w:rPr>
          <w:rFonts w:ascii="Calibri" w:hAnsi="Calibri" w:cs="Calibri"/>
          <w:lang w:val="en-US"/>
        </w:rPr>
        <w:t>b)</w:t>
      </w:r>
      <w:r w:rsidRPr="0009561A">
        <w:rPr>
          <w:rFonts w:ascii="Calibri" w:hAnsi="Calibri" w:cs="Calibri"/>
          <w:lang w:val="en-US"/>
        </w:rPr>
        <w:tab/>
        <w:t>The tenderer must not be affected by any conflict of interest and must have no equivalent relation in that respect with other tenderers or parties involved in the project.</w:t>
      </w:r>
    </w:p>
    <w:p w:rsidR="005B57B2" w:rsidRPr="0009561A" w:rsidRDefault="005B57B2" w:rsidP="005B57B2">
      <w:pPr>
        <w:spacing w:before="120" w:after="120"/>
        <w:ind w:left="567" w:hanging="567"/>
        <w:jc w:val="both"/>
        <w:rPr>
          <w:rFonts w:ascii="Calibri" w:hAnsi="Calibri" w:cs="Calibri"/>
          <w:lang w:val="en-US"/>
        </w:rPr>
      </w:pPr>
      <w:r w:rsidRPr="0009561A">
        <w:rPr>
          <w:rFonts w:ascii="Calibri" w:hAnsi="Calibri" w:cs="Calibri"/>
          <w:lang w:val="en-US"/>
        </w:rPr>
        <w:t>c)</w:t>
      </w:r>
      <w:r w:rsidRPr="0009561A">
        <w:rPr>
          <w:rFonts w:ascii="Calibri" w:hAnsi="Calibri" w:cs="Calibri"/>
          <w:lang w:val="en-US"/>
        </w:rPr>
        <w:tab/>
        <w:t>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rsidR="005B57B2" w:rsidRPr="0009561A" w:rsidRDefault="005B57B2" w:rsidP="005B57B2">
      <w:pPr>
        <w:spacing w:before="120" w:after="120"/>
        <w:ind w:left="567" w:hanging="567"/>
        <w:jc w:val="both"/>
        <w:rPr>
          <w:rFonts w:ascii="Calibri" w:hAnsi="Calibri" w:cs="Calibri"/>
          <w:lang w:val="en-US"/>
        </w:rPr>
      </w:pPr>
      <w:r w:rsidRPr="0009561A">
        <w:rPr>
          <w:rFonts w:ascii="Calibri" w:hAnsi="Calibri" w:cs="Calibri"/>
          <w:lang w:val="en-US"/>
        </w:rPr>
        <w:t>d)</w:t>
      </w:r>
      <w:r w:rsidRPr="0009561A">
        <w:rPr>
          <w:rFonts w:ascii="Calibri" w:hAnsi="Calibri" w:cs="Calibri"/>
          <w:lang w:val="en-US"/>
        </w:rPr>
        <w:tab/>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5B57B2" w:rsidRPr="0009561A" w:rsidRDefault="005B57B2" w:rsidP="005B57B2">
      <w:pPr>
        <w:spacing w:before="120" w:after="120"/>
        <w:ind w:left="567"/>
        <w:rPr>
          <w:rFonts w:ascii="Calibri" w:hAnsi="Calibri" w:cs="Calibri"/>
          <w:lang w:val="en-US"/>
        </w:rPr>
      </w:pPr>
      <w:r w:rsidRPr="0009561A">
        <w:rPr>
          <w:rFonts w:ascii="Calibri" w:hAnsi="Calibri" w:cs="Calibri"/>
          <w:lang w:val="en-US"/>
        </w:rPr>
        <w:t>Contractors found to have paid unusual commercial expenses on projects funded by the European Union are liable, depending on the seriousness of the facts observed, to have their contracts terminated or to be permanently excluded from receiving EU funds.</w:t>
      </w:r>
    </w:p>
    <w:p w:rsidR="005B57B2" w:rsidRPr="0009561A" w:rsidRDefault="005B57B2" w:rsidP="005B57B2">
      <w:pPr>
        <w:spacing w:before="120" w:after="120"/>
        <w:ind w:left="567" w:hanging="567"/>
        <w:jc w:val="both"/>
        <w:rPr>
          <w:rFonts w:ascii="Calibri" w:hAnsi="Calibri" w:cs="Calibri"/>
          <w:lang w:val="en-US"/>
        </w:rPr>
      </w:pPr>
      <w:r w:rsidRPr="0009561A">
        <w:rPr>
          <w:rFonts w:ascii="Calibri" w:hAnsi="Calibri" w:cs="Calibri"/>
          <w:lang w:val="en-US"/>
        </w:rPr>
        <w:t>e)</w:t>
      </w:r>
      <w:r w:rsidRPr="0009561A">
        <w:rPr>
          <w:rFonts w:ascii="Calibri" w:hAnsi="Calibri" w:cs="Calibri"/>
          <w:lang w:val="en-US"/>
        </w:rPr>
        <w:tab/>
        <w:t>The Contracting Authority reserves the right to suspend or cancel the procedure, where the award procedure proves to have been subject to substantial errors, irregularities or fraud. If substantial errors, irregularities or fraud are discovered after the award of the Contract, the Contracting Authority may refrain from concluding the Contract.</w:t>
      </w:r>
    </w:p>
    <w:p w:rsidR="005B57B2" w:rsidRPr="0009561A" w:rsidRDefault="005B57B2" w:rsidP="005B57B2">
      <w:pPr>
        <w:keepNext/>
        <w:numPr>
          <w:ilvl w:val="0"/>
          <w:numId w:val="4"/>
        </w:numPr>
        <w:spacing w:before="120" w:after="120" w:line="240" w:lineRule="auto"/>
        <w:jc w:val="both"/>
        <w:rPr>
          <w:rFonts w:ascii="Calibri" w:hAnsi="Calibri" w:cs="Calibri"/>
          <w:b/>
          <w:sz w:val="24"/>
          <w:szCs w:val="24"/>
        </w:rPr>
      </w:pPr>
      <w:r w:rsidRPr="0009561A">
        <w:rPr>
          <w:rFonts w:ascii="Calibri" w:hAnsi="Calibri" w:cs="Calibri"/>
          <w:b/>
          <w:sz w:val="24"/>
          <w:szCs w:val="24"/>
        </w:rPr>
        <w:lastRenderedPageBreak/>
        <w:t>Signature of contract(s)</w:t>
      </w:r>
    </w:p>
    <w:p w:rsidR="005B57B2" w:rsidRPr="0009561A" w:rsidRDefault="005B57B2" w:rsidP="005B57B2">
      <w:pPr>
        <w:keepNext/>
        <w:spacing w:before="120" w:after="120"/>
        <w:ind w:left="567" w:hanging="567"/>
        <w:jc w:val="both"/>
        <w:rPr>
          <w:rFonts w:ascii="Calibri" w:hAnsi="Calibri" w:cs="Calibri"/>
          <w:b/>
        </w:rPr>
      </w:pPr>
      <w:r w:rsidRPr="0009561A">
        <w:rPr>
          <w:rFonts w:ascii="Calibri" w:hAnsi="Calibri" w:cs="Calibri"/>
          <w:b/>
        </w:rPr>
        <w:t>14.1.</w:t>
      </w:r>
      <w:r w:rsidRPr="0009561A">
        <w:rPr>
          <w:rFonts w:ascii="Calibri" w:hAnsi="Calibri" w:cs="Calibri"/>
          <w:b/>
        </w:rPr>
        <w:tab/>
        <w:t>Notification of award</w:t>
      </w:r>
    </w:p>
    <w:p w:rsidR="005B57B2" w:rsidRPr="0009561A" w:rsidRDefault="005B57B2" w:rsidP="005B57B2">
      <w:pPr>
        <w:keepNext/>
        <w:spacing w:before="120" w:after="120"/>
        <w:jc w:val="both"/>
        <w:rPr>
          <w:rFonts w:ascii="Calibri" w:hAnsi="Calibri" w:cs="Calibri"/>
          <w:lang w:val="en-US"/>
        </w:rPr>
      </w:pPr>
      <w:r w:rsidRPr="0009561A">
        <w:rPr>
          <w:rFonts w:ascii="Calibri" w:hAnsi="Calibri" w:cs="Calibri"/>
          <w:lang w:val="en-US"/>
        </w:rPr>
        <w:t xml:space="preserve">The successful tenderer will be informed in writing that its tender has been accepted.      </w:t>
      </w:r>
    </w:p>
    <w:p w:rsidR="005B57B2" w:rsidRPr="0009561A" w:rsidRDefault="005B57B2" w:rsidP="005B57B2">
      <w:pPr>
        <w:keepNext/>
        <w:spacing w:before="120" w:after="120"/>
        <w:ind w:left="567" w:hanging="567"/>
        <w:jc w:val="both"/>
        <w:rPr>
          <w:rFonts w:ascii="Calibri" w:hAnsi="Calibri" w:cs="Calibri"/>
          <w:b/>
          <w:u w:val="single"/>
          <w:lang w:val="en-US"/>
        </w:rPr>
      </w:pPr>
      <w:r w:rsidRPr="0009561A">
        <w:rPr>
          <w:rFonts w:ascii="Calibri" w:hAnsi="Calibri" w:cs="Calibri"/>
          <w:b/>
          <w:lang w:val="en-US"/>
        </w:rPr>
        <w:t>14.2.</w:t>
      </w:r>
      <w:r w:rsidRPr="0009561A">
        <w:rPr>
          <w:rFonts w:ascii="Calibri" w:hAnsi="Calibri" w:cs="Calibri"/>
          <w:b/>
          <w:lang w:val="en-US"/>
        </w:rPr>
        <w:tab/>
        <w:t>Signature of the contract(s)</w:t>
      </w:r>
    </w:p>
    <w:p w:rsidR="005B57B2" w:rsidRPr="0009561A" w:rsidRDefault="005B57B2" w:rsidP="005B57B2">
      <w:pPr>
        <w:pStyle w:val="21"/>
        <w:tabs>
          <w:tab w:val="clear" w:pos="567"/>
          <w:tab w:val="left" w:pos="0"/>
          <w:tab w:val="left" w:pos="630"/>
        </w:tabs>
        <w:spacing w:before="120" w:after="120"/>
        <w:rPr>
          <w:rFonts w:ascii="Calibri" w:hAnsi="Calibri" w:cs="Calibri"/>
          <w:sz w:val="22"/>
          <w:szCs w:val="22"/>
        </w:rPr>
      </w:pPr>
      <w:r w:rsidRPr="0009561A">
        <w:rPr>
          <w:rFonts w:ascii="Calibri" w:hAnsi="Calibri" w:cs="Calibri"/>
          <w:sz w:val="22"/>
          <w:szCs w:val="22"/>
        </w:rPr>
        <w:t>Within 30 days of receipt of the contract already signed by the Contracting Authority, the selected tenderer shall sign and date the contract and return it to the Contracting Authority.</w:t>
      </w:r>
    </w:p>
    <w:p w:rsidR="005B57B2" w:rsidRPr="0009561A" w:rsidRDefault="005B57B2" w:rsidP="005B57B2">
      <w:pPr>
        <w:pStyle w:val="21"/>
        <w:tabs>
          <w:tab w:val="clear" w:pos="567"/>
          <w:tab w:val="left" w:pos="0"/>
          <w:tab w:val="left" w:pos="630"/>
        </w:tabs>
        <w:spacing w:before="120" w:after="120"/>
        <w:rPr>
          <w:rFonts w:ascii="Calibri" w:hAnsi="Calibri" w:cs="Calibri"/>
          <w:sz w:val="22"/>
          <w:szCs w:val="22"/>
        </w:rPr>
      </w:pPr>
      <w:r w:rsidRPr="0009561A">
        <w:rPr>
          <w:rFonts w:ascii="Calibri" w:hAnsi="Calibri" w:cs="Calibri"/>
          <w:sz w:val="22"/>
          <w:szCs w:val="22"/>
        </w:rPr>
        <w:t xml:space="preserve">Failure of the selected tenderer to comply with this requirement may constitute grounds for annulling the decision to award the contract. In this event, the Contracting Authority may award the tender to another tenderer or cancel the tender procedure. </w:t>
      </w:r>
    </w:p>
    <w:p w:rsidR="005B57B2" w:rsidRPr="0009561A" w:rsidRDefault="005B57B2" w:rsidP="005B57B2">
      <w:pPr>
        <w:pStyle w:val="21"/>
        <w:tabs>
          <w:tab w:val="clear" w:pos="567"/>
          <w:tab w:val="left" w:pos="0"/>
          <w:tab w:val="left" w:pos="630"/>
        </w:tabs>
        <w:spacing w:before="120" w:after="120"/>
        <w:rPr>
          <w:rStyle w:val="Style11pt"/>
          <w:rFonts w:ascii="Calibri" w:hAnsi="Calibri" w:cs="Calibri"/>
        </w:rPr>
      </w:pPr>
      <w:r w:rsidRPr="0009561A">
        <w:rPr>
          <w:rFonts w:ascii="Calibri" w:hAnsi="Calibri" w:cs="Calibri"/>
          <w:sz w:val="22"/>
          <w:szCs w:val="22"/>
        </w:rPr>
        <w:t xml:space="preserve">The other tenderers will, at the same time as the notification of award is submitted, be informed that their tenders were not retained, by electronic means or standard letter, including an indication of the relative weaknesses of their tender by way of a comparative table of the scores for the winning tender and the unsuccessful tender. </w:t>
      </w:r>
      <w:r w:rsidRPr="0009561A">
        <w:rPr>
          <w:rFonts w:ascii="Calibri" w:hAnsi="Calibri" w:cs="Calibri"/>
        </w:rPr>
        <w:t>T</w:t>
      </w:r>
      <w:r w:rsidRPr="0009561A">
        <w:rPr>
          <w:rStyle w:val="Style11pt"/>
          <w:rFonts w:ascii="Calibri" w:hAnsi="Calibri" w:cs="Calibri"/>
          <w:szCs w:val="22"/>
        </w:rPr>
        <w:t>he second</w:t>
      </w:r>
      <w:r w:rsidRPr="0009561A">
        <w:rPr>
          <w:rStyle w:val="Style11pt"/>
          <w:rFonts w:ascii="Calibri" w:hAnsi="Calibri" w:cs="Calibri"/>
        </w:rPr>
        <w:t xml:space="preserve"> best tenderer is informed of the notification of award to the successful tenderer with the reservation of the possibility to receive a notification of award in case of inability to sign the contract with the first ranked tenderer. The validity of the offer of the second best tenderer will be kept. The second tenderer may refuse the award of the contract if, when receiving a notification of award, the 90 days of validity of their tender has expired.</w:t>
      </w:r>
    </w:p>
    <w:p w:rsidR="005B57B2" w:rsidRPr="0009561A" w:rsidRDefault="005B57B2" w:rsidP="005B57B2">
      <w:pPr>
        <w:pStyle w:val="Style11ptJustifiedAfter12pt"/>
        <w:rPr>
          <w:rFonts w:ascii="Calibri" w:hAnsi="Calibri" w:cs="Calibri"/>
        </w:rPr>
      </w:pPr>
      <w:r w:rsidRPr="0009561A">
        <w:rPr>
          <w:rStyle w:val="Style11pt"/>
          <w:rFonts w:ascii="Calibri" w:hAnsi="Calibri" w:cs="Calibri"/>
        </w:rPr>
        <w:t>The Contracting Authority will furthermore, at the same time, also inform the remaining unsuccessful tenderers and the consequence of these letters will be that the validity of their offers must not be retained.</w:t>
      </w:r>
    </w:p>
    <w:p w:rsidR="005B57B2" w:rsidRPr="0009561A" w:rsidRDefault="005B57B2" w:rsidP="005B57B2">
      <w:pPr>
        <w:keepNext/>
        <w:numPr>
          <w:ilvl w:val="0"/>
          <w:numId w:val="4"/>
        </w:numPr>
        <w:spacing w:before="120" w:after="120" w:line="240" w:lineRule="auto"/>
        <w:jc w:val="both"/>
        <w:rPr>
          <w:rFonts w:ascii="Calibri" w:hAnsi="Calibri" w:cs="Calibri"/>
          <w:b/>
          <w:sz w:val="24"/>
          <w:szCs w:val="24"/>
        </w:rPr>
      </w:pPr>
      <w:r w:rsidRPr="0009561A">
        <w:rPr>
          <w:rFonts w:ascii="Calibri" w:hAnsi="Calibri" w:cs="Calibri"/>
          <w:b/>
          <w:sz w:val="24"/>
          <w:szCs w:val="24"/>
        </w:rPr>
        <w:t>Cancellation of the tender procedure</w:t>
      </w:r>
    </w:p>
    <w:p w:rsidR="005B57B2" w:rsidRPr="0009561A" w:rsidRDefault="005B57B2" w:rsidP="00AE65AC">
      <w:pPr>
        <w:pStyle w:val="21"/>
        <w:tabs>
          <w:tab w:val="clear" w:pos="567"/>
          <w:tab w:val="left" w:pos="0"/>
          <w:tab w:val="left" w:pos="630"/>
        </w:tabs>
        <w:rPr>
          <w:rFonts w:ascii="Calibri" w:hAnsi="Calibri" w:cs="Calibri"/>
          <w:sz w:val="22"/>
          <w:szCs w:val="22"/>
        </w:rPr>
      </w:pPr>
      <w:r w:rsidRPr="0009561A">
        <w:rPr>
          <w:rFonts w:ascii="Calibri" w:hAnsi="Calibri" w:cs="Calibri"/>
          <w:sz w:val="22"/>
          <w:szCs w:val="22"/>
        </w:rPr>
        <w:t>In the event of cancellation of the tender procedure, the Contracting Authority will notify tenderers of the cancellation. If the tender procedure is cancelled before the outer envelope of any tender has been opened, the unopened and sealed envelopes will be returned to the tenderers.</w:t>
      </w:r>
    </w:p>
    <w:p w:rsidR="005B57B2" w:rsidRPr="0009561A" w:rsidRDefault="005B57B2" w:rsidP="00AE65AC">
      <w:pPr>
        <w:pStyle w:val="21"/>
        <w:tabs>
          <w:tab w:val="clear" w:pos="567"/>
          <w:tab w:val="left" w:pos="0"/>
          <w:tab w:val="left" w:pos="630"/>
        </w:tabs>
        <w:rPr>
          <w:rFonts w:ascii="Calibri" w:hAnsi="Calibri" w:cs="Calibri"/>
          <w:sz w:val="22"/>
          <w:szCs w:val="22"/>
        </w:rPr>
      </w:pPr>
      <w:r w:rsidRPr="0009561A">
        <w:rPr>
          <w:rFonts w:ascii="Calibri" w:hAnsi="Calibri" w:cs="Calibri"/>
          <w:sz w:val="22"/>
          <w:szCs w:val="22"/>
        </w:rPr>
        <w:t>Cancellation may occur, for example, where:</w:t>
      </w:r>
    </w:p>
    <w:p w:rsidR="005B57B2" w:rsidRPr="0009561A" w:rsidRDefault="005B57B2" w:rsidP="00AE65AC">
      <w:pPr>
        <w:pStyle w:val="21"/>
        <w:numPr>
          <w:ilvl w:val="0"/>
          <w:numId w:val="5"/>
        </w:numPr>
        <w:tabs>
          <w:tab w:val="left" w:pos="0"/>
          <w:tab w:val="left" w:pos="630"/>
        </w:tabs>
        <w:rPr>
          <w:rFonts w:ascii="Calibri" w:hAnsi="Calibri" w:cs="Calibri"/>
          <w:sz w:val="22"/>
          <w:szCs w:val="22"/>
        </w:rPr>
      </w:pPr>
      <w:r w:rsidRPr="0009561A">
        <w:rPr>
          <w:rFonts w:ascii="Calibri" w:hAnsi="Calibri" w:cs="Calibri"/>
          <w:sz w:val="22"/>
          <w:szCs w:val="22"/>
        </w:rPr>
        <w:t>the tender procedure has been unsuccessful, i.e., no suitable, qualitatively or financially acceptable tender has been received or there is no valid response at all;</w:t>
      </w:r>
    </w:p>
    <w:p w:rsidR="005B57B2" w:rsidRPr="0009561A" w:rsidRDefault="005B57B2" w:rsidP="00AE65AC">
      <w:pPr>
        <w:pStyle w:val="21"/>
        <w:numPr>
          <w:ilvl w:val="0"/>
          <w:numId w:val="5"/>
        </w:numPr>
        <w:tabs>
          <w:tab w:val="left" w:pos="0"/>
          <w:tab w:val="left" w:pos="630"/>
        </w:tabs>
        <w:rPr>
          <w:rFonts w:ascii="Calibri" w:hAnsi="Calibri" w:cs="Calibri"/>
          <w:sz w:val="22"/>
          <w:szCs w:val="22"/>
        </w:rPr>
      </w:pPr>
      <w:r w:rsidRPr="0009561A">
        <w:rPr>
          <w:rFonts w:ascii="Calibri" w:hAnsi="Calibri" w:cs="Calibri"/>
          <w:sz w:val="22"/>
          <w:szCs w:val="22"/>
        </w:rPr>
        <w:t>there are fundamental changes to the economic or technical data of the project;</w:t>
      </w:r>
    </w:p>
    <w:p w:rsidR="005B57B2" w:rsidRPr="0009561A" w:rsidRDefault="005B57B2" w:rsidP="00AE65AC">
      <w:pPr>
        <w:pStyle w:val="21"/>
        <w:numPr>
          <w:ilvl w:val="0"/>
          <w:numId w:val="5"/>
        </w:numPr>
        <w:tabs>
          <w:tab w:val="left" w:pos="0"/>
          <w:tab w:val="left" w:pos="630"/>
        </w:tabs>
        <w:rPr>
          <w:rFonts w:ascii="Calibri" w:hAnsi="Calibri" w:cs="Calibri"/>
          <w:sz w:val="22"/>
          <w:szCs w:val="22"/>
        </w:rPr>
      </w:pPr>
      <w:r w:rsidRPr="0009561A">
        <w:rPr>
          <w:rFonts w:ascii="Calibri" w:hAnsi="Calibri" w:cs="Calibri"/>
          <w:sz w:val="22"/>
          <w:szCs w:val="22"/>
        </w:rPr>
        <w:t>exceptional circumstances or force majeure render normal performance of the contract impossible;</w:t>
      </w:r>
    </w:p>
    <w:p w:rsidR="005B57B2" w:rsidRPr="0009561A" w:rsidRDefault="005B57B2" w:rsidP="00AE65AC">
      <w:pPr>
        <w:pStyle w:val="21"/>
        <w:numPr>
          <w:ilvl w:val="0"/>
          <w:numId w:val="5"/>
        </w:numPr>
        <w:tabs>
          <w:tab w:val="left" w:pos="0"/>
          <w:tab w:val="left" w:pos="630"/>
        </w:tabs>
        <w:rPr>
          <w:rFonts w:ascii="Calibri" w:hAnsi="Calibri" w:cs="Calibri"/>
          <w:sz w:val="22"/>
          <w:szCs w:val="22"/>
        </w:rPr>
      </w:pPr>
      <w:r w:rsidRPr="0009561A">
        <w:rPr>
          <w:rFonts w:ascii="Calibri" w:hAnsi="Calibri" w:cs="Calibri"/>
          <w:sz w:val="22"/>
          <w:szCs w:val="22"/>
        </w:rPr>
        <w:t>all technically acceptable tenders exceed the financial resources available;</w:t>
      </w:r>
    </w:p>
    <w:p w:rsidR="005B57B2" w:rsidRPr="0009561A" w:rsidRDefault="005B57B2" w:rsidP="00AE65AC">
      <w:pPr>
        <w:pStyle w:val="21"/>
        <w:numPr>
          <w:ilvl w:val="0"/>
          <w:numId w:val="5"/>
        </w:numPr>
        <w:tabs>
          <w:tab w:val="left" w:pos="0"/>
          <w:tab w:val="left" w:pos="630"/>
        </w:tabs>
        <w:rPr>
          <w:rFonts w:ascii="Calibri" w:hAnsi="Calibri" w:cs="Calibri"/>
          <w:sz w:val="22"/>
          <w:szCs w:val="22"/>
        </w:rPr>
      </w:pPr>
      <w:r w:rsidRPr="0009561A">
        <w:rPr>
          <w:rFonts w:ascii="Calibri" w:hAnsi="Calibri" w:cs="Calibri"/>
          <w:sz w:val="22"/>
          <w:szCs w:val="22"/>
        </w:rPr>
        <w:t>there have been substantial errors, irregularities or frauds in the procedure, in particular if they have prevented fair competition;</w:t>
      </w:r>
    </w:p>
    <w:p w:rsidR="005B57B2" w:rsidRPr="0009561A" w:rsidRDefault="005B57B2" w:rsidP="00AE65AC">
      <w:pPr>
        <w:pStyle w:val="21"/>
        <w:numPr>
          <w:ilvl w:val="0"/>
          <w:numId w:val="5"/>
        </w:numPr>
        <w:tabs>
          <w:tab w:val="left" w:pos="0"/>
          <w:tab w:val="left" w:pos="630"/>
        </w:tabs>
        <w:rPr>
          <w:rFonts w:ascii="Calibri" w:hAnsi="Calibri" w:cs="Calibri"/>
          <w:sz w:val="22"/>
          <w:szCs w:val="22"/>
        </w:rPr>
      </w:pPr>
      <w:r w:rsidRPr="0009561A">
        <w:rPr>
          <w:rFonts w:ascii="Calibri" w:hAnsi="Calibri" w:cs="Calibri"/>
          <w:sz w:val="22"/>
          <w:szCs w:val="22"/>
        </w:rPr>
        <w:t>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rsidR="005B57B2" w:rsidRPr="0009561A" w:rsidRDefault="005B57B2" w:rsidP="005B57B2">
      <w:pPr>
        <w:pStyle w:val="21"/>
        <w:tabs>
          <w:tab w:val="clear" w:pos="567"/>
          <w:tab w:val="left" w:pos="0"/>
          <w:tab w:val="left" w:pos="630"/>
        </w:tabs>
        <w:spacing w:before="120" w:after="120"/>
        <w:rPr>
          <w:rFonts w:ascii="Calibri" w:hAnsi="Calibri" w:cs="Calibri"/>
          <w:bCs/>
          <w:sz w:val="22"/>
          <w:szCs w:val="22"/>
        </w:rPr>
      </w:pPr>
      <w:r w:rsidRPr="0009561A">
        <w:rPr>
          <w:rFonts w:ascii="Calibri" w:hAnsi="Calibri" w:cs="Calibri"/>
          <w:bCs/>
          <w:sz w:val="22"/>
          <w:szCs w:val="22"/>
        </w:rPr>
        <w:t>In no event shall the Contracting Authority be liable for any damages whatsoever including, without limitation, damages for loss of profits, in any way connected with the cancellation of a tender procedure, even if the Contracting Authority has been advised of the possibility of damages. The publication of a contract</w:t>
      </w:r>
      <w:r w:rsidRPr="0009561A" w:rsidDel="0022643A">
        <w:rPr>
          <w:rFonts w:ascii="Calibri" w:hAnsi="Calibri" w:cs="Calibri"/>
          <w:bCs/>
          <w:sz w:val="22"/>
          <w:szCs w:val="22"/>
        </w:rPr>
        <w:t xml:space="preserve"> </w:t>
      </w:r>
      <w:r w:rsidRPr="0009561A">
        <w:rPr>
          <w:rFonts w:ascii="Calibri" w:hAnsi="Calibri" w:cs="Calibri"/>
          <w:bCs/>
          <w:sz w:val="22"/>
          <w:szCs w:val="22"/>
        </w:rPr>
        <w:t>notice does not commit the Contracting Authority to implement the programme or project announced.</w:t>
      </w:r>
    </w:p>
    <w:p w:rsidR="005B57B2" w:rsidRPr="0009561A" w:rsidRDefault="005B57B2" w:rsidP="005B57B2">
      <w:pPr>
        <w:keepNext/>
        <w:keepLines/>
        <w:numPr>
          <w:ilvl w:val="0"/>
          <w:numId w:val="4"/>
        </w:numPr>
        <w:spacing w:before="120" w:after="120" w:line="240" w:lineRule="auto"/>
        <w:jc w:val="both"/>
        <w:rPr>
          <w:rFonts w:ascii="Calibri" w:hAnsi="Calibri" w:cs="Calibri"/>
          <w:b/>
          <w:sz w:val="24"/>
          <w:szCs w:val="24"/>
        </w:rPr>
      </w:pPr>
      <w:r w:rsidRPr="0009561A">
        <w:rPr>
          <w:rFonts w:ascii="Calibri" w:hAnsi="Calibri" w:cs="Calibri"/>
          <w:b/>
          <w:sz w:val="24"/>
          <w:szCs w:val="24"/>
        </w:rPr>
        <w:lastRenderedPageBreak/>
        <w:t>Appeals</w:t>
      </w:r>
    </w:p>
    <w:p w:rsidR="00450BA7" w:rsidRPr="00314294" w:rsidRDefault="005B57B2" w:rsidP="00AE65AC">
      <w:pPr>
        <w:pStyle w:val="21"/>
        <w:keepNext/>
        <w:keepLines/>
        <w:tabs>
          <w:tab w:val="clear" w:pos="567"/>
          <w:tab w:val="left" w:pos="0"/>
          <w:tab w:val="left" w:pos="630"/>
        </w:tabs>
        <w:spacing w:before="120" w:after="120"/>
        <w:rPr>
          <w:rFonts w:ascii="Calibri" w:hAnsi="Calibri" w:cs="Calibri"/>
        </w:rPr>
      </w:pPr>
      <w:r w:rsidRPr="0009561A">
        <w:rPr>
          <w:rFonts w:ascii="Calibri" w:hAnsi="Calibri" w:cs="Calibri"/>
          <w:sz w:val="22"/>
          <w:szCs w:val="22"/>
        </w:rPr>
        <w:t>Tenderers believing that they have been harmed by an error or irregularity during the award process may file a complaint. See section 2.4.15 of the Practical Guide.</w:t>
      </w:r>
      <w:r w:rsidR="00AE65AC" w:rsidRPr="00314294">
        <w:rPr>
          <w:rFonts w:ascii="Calibri" w:hAnsi="Calibri" w:cs="Calibri"/>
        </w:rPr>
        <w:t xml:space="preserve"> </w:t>
      </w:r>
    </w:p>
    <w:p w:rsidR="007E77F3" w:rsidRPr="00314294" w:rsidRDefault="007E77F3">
      <w:pPr>
        <w:rPr>
          <w:rFonts w:ascii="Calibri" w:hAnsi="Calibri" w:cs="Calibri"/>
        </w:rPr>
      </w:pPr>
    </w:p>
    <w:sectPr w:rsidR="007E77F3" w:rsidRPr="00314294" w:rsidSect="00314294">
      <w:headerReference w:type="default" r:id="rId11"/>
      <w:pgSz w:w="11906" w:h="16838"/>
      <w:pgMar w:top="1417" w:right="1417" w:bottom="1417" w:left="1417" w:header="142" w:footer="31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53E" w:rsidRDefault="0060453E" w:rsidP="00FF3855">
      <w:pPr>
        <w:spacing w:after="0" w:line="240" w:lineRule="auto"/>
      </w:pPr>
      <w:r>
        <w:separator/>
      </w:r>
    </w:p>
  </w:endnote>
  <w:endnote w:type="continuationSeparator" w:id="0">
    <w:p w:rsidR="0060453E" w:rsidRDefault="0060453E" w:rsidP="00FF38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otype Sorts">
    <w:altName w:val="Courier New"/>
    <w:panose1 w:val="00000000000000000000"/>
    <w:charset w:val="02"/>
    <w:family w:val="auto"/>
    <w:notTrueType/>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53E" w:rsidRDefault="0060453E" w:rsidP="00FF3855">
      <w:pPr>
        <w:spacing w:after="0" w:line="240" w:lineRule="auto"/>
      </w:pPr>
      <w:r>
        <w:separator/>
      </w:r>
    </w:p>
  </w:footnote>
  <w:footnote w:type="continuationSeparator" w:id="0">
    <w:p w:rsidR="0060453E" w:rsidRDefault="0060453E" w:rsidP="00FF38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F39" w:rsidRPr="004B2C00" w:rsidRDefault="00A61F39" w:rsidP="00B8507E">
    <w:pPr>
      <w:pStyle w:val="a4"/>
      <w:jc w:val="right"/>
      <w:rPr>
        <w:sz w:val="8"/>
      </w:rPr>
    </w:pPr>
  </w:p>
  <w:p w:rsidR="002100F2" w:rsidRPr="005C31A0" w:rsidRDefault="002100F2" w:rsidP="006261CA">
    <w:pPr>
      <w:pStyle w:val="a4"/>
      <w:jc w:val="right"/>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1">
    <w:nsid w:val="3A1F73EE"/>
    <w:multiLevelType w:val="hybridMultilevel"/>
    <w:tmpl w:val="600287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3">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5">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rsids>
    <w:rsidRoot w:val="00E120B6"/>
    <w:rsid w:val="000149ED"/>
    <w:rsid w:val="00037DDE"/>
    <w:rsid w:val="000420B6"/>
    <w:rsid w:val="000449E9"/>
    <w:rsid w:val="0006027D"/>
    <w:rsid w:val="000619B8"/>
    <w:rsid w:val="00084AC5"/>
    <w:rsid w:val="00092793"/>
    <w:rsid w:val="0009561A"/>
    <w:rsid w:val="000B1A1A"/>
    <w:rsid w:val="000C48AC"/>
    <w:rsid w:val="000D6EC3"/>
    <w:rsid w:val="000E6521"/>
    <w:rsid w:val="00105C75"/>
    <w:rsid w:val="00114D56"/>
    <w:rsid w:val="00172DC1"/>
    <w:rsid w:val="00194059"/>
    <w:rsid w:val="001B3020"/>
    <w:rsid w:val="001C41DB"/>
    <w:rsid w:val="001E1FD2"/>
    <w:rsid w:val="00204091"/>
    <w:rsid w:val="002100F2"/>
    <w:rsid w:val="00236D0F"/>
    <w:rsid w:val="00240373"/>
    <w:rsid w:val="002A3F49"/>
    <w:rsid w:val="002A408C"/>
    <w:rsid w:val="002A71E4"/>
    <w:rsid w:val="00314294"/>
    <w:rsid w:val="003456C3"/>
    <w:rsid w:val="00366395"/>
    <w:rsid w:val="00374F3B"/>
    <w:rsid w:val="00380C46"/>
    <w:rsid w:val="003837C7"/>
    <w:rsid w:val="003C2263"/>
    <w:rsid w:val="003D0869"/>
    <w:rsid w:val="003D49B5"/>
    <w:rsid w:val="003E5313"/>
    <w:rsid w:val="003F4E4F"/>
    <w:rsid w:val="00426944"/>
    <w:rsid w:val="00427287"/>
    <w:rsid w:val="004301ED"/>
    <w:rsid w:val="00434AA8"/>
    <w:rsid w:val="00450BA7"/>
    <w:rsid w:val="004634FD"/>
    <w:rsid w:val="00470612"/>
    <w:rsid w:val="004A0022"/>
    <w:rsid w:val="004B2C00"/>
    <w:rsid w:val="004B4A25"/>
    <w:rsid w:val="004F741A"/>
    <w:rsid w:val="005065A1"/>
    <w:rsid w:val="0052418C"/>
    <w:rsid w:val="005541DB"/>
    <w:rsid w:val="00556756"/>
    <w:rsid w:val="005921A2"/>
    <w:rsid w:val="005B57B2"/>
    <w:rsid w:val="005C31A0"/>
    <w:rsid w:val="005D44C9"/>
    <w:rsid w:val="005E772F"/>
    <w:rsid w:val="005F32A2"/>
    <w:rsid w:val="0060453E"/>
    <w:rsid w:val="006261CA"/>
    <w:rsid w:val="00640960"/>
    <w:rsid w:val="0066794C"/>
    <w:rsid w:val="006C6F5F"/>
    <w:rsid w:val="006D1920"/>
    <w:rsid w:val="006D43DB"/>
    <w:rsid w:val="0070746E"/>
    <w:rsid w:val="00745F65"/>
    <w:rsid w:val="0076246C"/>
    <w:rsid w:val="00780BE5"/>
    <w:rsid w:val="007B2386"/>
    <w:rsid w:val="007C690C"/>
    <w:rsid w:val="007D52A6"/>
    <w:rsid w:val="007D54F8"/>
    <w:rsid w:val="007E77F3"/>
    <w:rsid w:val="00823D38"/>
    <w:rsid w:val="0082701E"/>
    <w:rsid w:val="00834F9A"/>
    <w:rsid w:val="008515ED"/>
    <w:rsid w:val="008D4F9D"/>
    <w:rsid w:val="008D5C98"/>
    <w:rsid w:val="00900BE4"/>
    <w:rsid w:val="00946500"/>
    <w:rsid w:val="00963A94"/>
    <w:rsid w:val="00963F4E"/>
    <w:rsid w:val="00980144"/>
    <w:rsid w:val="009869C0"/>
    <w:rsid w:val="00987B28"/>
    <w:rsid w:val="00990764"/>
    <w:rsid w:val="009A5F13"/>
    <w:rsid w:val="009C0DB0"/>
    <w:rsid w:val="009C4AB1"/>
    <w:rsid w:val="009F0142"/>
    <w:rsid w:val="009F140E"/>
    <w:rsid w:val="00A06D8A"/>
    <w:rsid w:val="00A14CFF"/>
    <w:rsid w:val="00A162A9"/>
    <w:rsid w:val="00A265D5"/>
    <w:rsid w:val="00A273FC"/>
    <w:rsid w:val="00A34B46"/>
    <w:rsid w:val="00A61F39"/>
    <w:rsid w:val="00A62953"/>
    <w:rsid w:val="00A96F27"/>
    <w:rsid w:val="00AA54C1"/>
    <w:rsid w:val="00AA7C71"/>
    <w:rsid w:val="00AB717A"/>
    <w:rsid w:val="00AD4701"/>
    <w:rsid w:val="00AE3EE9"/>
    <w:rsid w:val="00AE65AC"/>
    <w:rsid w:val="00B23F7F"/>
    <w:rsid w:val="00B56EFC"/>
    <w:rsid w:val="00B74444"/>
    <w:rsid w:val="00B8507E"/>
    <w:rsid w:val="00BA30E6"/>
    <w:rsid w:val="00BA4B43"/>
    <w:rsid w:val="00BB0DA1"/>
    <w:rsid w:val="00BB7E16"/>
    <w:rsid w:val="00BC2250"/>
    <w:rsid w:val="00BD1189"/>
    <w:rsid w:val="00C2696C"/>
    <w:rsid w:val="00C349A8"/>
    <w:rsid w:val="00C4375D"/>
    <w:rsid w:val="00CD32AD"/>
    <w:rsid w:val="00D56EFE"/>
    <w:rsid w:val="00D614E1"/>
    <w:rsid w:val="00D74079"/>
    <w:rsid w:val="00DE6EE4"/>
    <w:rsid w:val="00E120B6"/>
    <w:rsid w:val="00E451C6"/>
    <w:rsid w:val="00E5438E"/>
    <w:rsid w:val="00E57502"/>
    <w:rsid w:val="00EB09C3"/>
    <w:rsid w:val="00EC3361"/>
    <w:rsid w:val="00EC3694"/>
    <w:rsid w:val="00F02B65"/>
    <w:rsid w:val="00F32857"/>
    <w:rsid w:val="00F4025B"/>
    <w:rsid w:val="00F40290"/>
    <w:rsid w:val="00F56F97"/>
    <w:rsid w:val="00F67622"/>
    <w:rsid w:val="00F71E54"/>
    <w:rsid w:val="00F94F4F"/>
    <w:rsid w:val="00F950BB"/>
    <w:rsid w:val="00FC7B75"/>
    <w:rsid w:val="00FD3011"/>
    <w:rsid w:val="00FE7C88"/>
    <w:rsid w:val="00FF38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1A2"/>
  </w:style>
  <w:style w:type="paragraph" w:styleId="2">
    <w:name w:val="heading 2"/>
    <w:basedOn w:val="a"/>
    <w:next w:val="a"/>
    <w:link w:val="20"/>
    <w:qFormat/>
    <w:rsid w:val="005B57B2"/>
    <w:pPr>
      <w:keepNext/>
      <w:tabs>
        <w:tab w:val="left" w:pos="426"/>
      </w:tabs>
      <w:spacing w:after="0" w:line="240" w:lineRule="auto"/>
      <w:outlineLvl w:val="1"/>
    </w:pPr>
    <w:rPr>
      <w:rFonts w:ascii="Times New Roman" w:eastAsia="Times New Roman" w:hAnsi="Times New Roman" w:cs="Times New Roman"/>
      <w:sz w:val="24"/>
      <w:szCs w:val="20"/>
      <w:lang w:val="fr-BE"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nhideWhenUsed/>
    <w:rsid w:val="00FF385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F3855"/>
  </w:style>
  <w:style w:type="paragraph" w:styleId="a6">
    <w:name w:val="footer"/>
    <w:basedOn w:val="a"/>
    <w:link w:val="a7"/>
    <w:uiPriority w:val="99"/>
    <w:unhideWhenUsed/>
    <w:rsid w:val="00FF385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F3855"/>
  </w:style>
  <w:style w:type="paragraph" w:styleId="a8">
    <w:name w:val="Balloon Text"/>
    <w:basedOn w:val="a"/>
    <w:link w:val="a9"/>
    <w:uiPriority w:val="99"/>
    <w:semiHidden/>
    <w:unhideWhenUsed/>
    <w:rsid w:val="006261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61CA"/>
    <w:rPr>
      <w:rFonts w:ascii="Tahoma" w:hAnsi="Tahoma" w:cs="Tahoma"/>
      <w:sz w:val="16"/>
      <w:szCs w:val="16"/>
    </w:rPr>
  </w:style>
  <w:style w:type="character" w:styleId="aa">
    <w:name w:val="Hyperlink"/>
    <w:basedOn w:val="a0"/>
    <w:uiPriority w:val="99"/>
    <w:unhideWhenUsed/>
    <w:rsid w:val="00A06D8A"/>
    <w:rPr>
      <w:color w:val="0563C1" w:themeColor="hyperlink"/>
      <w:u w:val="single"/>
    </w:rPr>
  </w:style>
  <w:style w:type="character" w:customStyle="1" w:styleId="20">
    <w:name w:val="Заголовок 2 Знак"/>
    <w:basedOn w:val="a0"/>
    <w:link w:val="2"/>
    <w:rsid w:val="005B57B2"/>
    <w:rPr>
      <w:rFonts w:ascii="Times New Roman" w:eastAsia="Times New Roman" w:hAnsi="Times New Roman" w:cs="Times New Roman"/>
      <w:sz w:val="24"/>
      <w:szCs w:val="20"/>
      <w:lang w:val="fr-BE" w:eastAsia="en-GB"/>
    </w:rPr>
  </w:style>
  <w:style w:type="paragraph" w:styleId="ab">
    <w:name w:val="Subtitle"/>
    <w:basedOn w:val="a"/>
    <w:link w:val="ac"/>
    <w:qFormat/>
    <w:rsid w:val="005B57B2"/>
    <w:pPr>
      <w:spacing w:after="0" w:line="240" w:lineRule="auto"/>
      <w:jc w:val="center"/>
    </w:pPr>
    <w:rPr>
      <w:rFonts w:ascii="Times New Roman" w:eastAsia="Times New Roman" w:hAnsi="Times New Roman" w:cs="Times New Roman"/>
      <w:b/>
      <w:sz w:val="28"/>
      <w:szCs w:val="20"/>
      <w:lang w:val="fr-BE" w:eastAsia="en-GB"/>
    </w:rPr>
  </w:style>
  <w:style w:type="character" w:customStyle="1" w:styleId="ac">
    <w:name w:val="Подзаголовок Знак"/>
    <w:basedOn w:val="a0"/>
    <w:link w:val="ab"/>
    <w:rsid w:val="005B57B2"/>
    <w:rPr>
      <w:rFonts w:ascii="Times New Roman" w:eastAsia="Times New Roman" w:hAnsi="Times New Roman" w:cs="Times New Roman"/>
      <w:b/>
      <w:sz w:val="28"/>
      <w:szCs w:val="20"/>
      <w:lang w:val="fr-BE" w:eastAsia="en-GB"/>
    </w:rPr>
  </w:style>
  <w:style w:type="paragraph" w:styleId="ad">
    <w:name w:val="Body Text Indent"/>
    <w:basedOn w:val="a"/>
    <w:link w:val="ae"/>
    <w:rsid w:val="005B57B2"/>
    <w:pPr>
      <w:tabs>
        <w:tab w:val="left" w:pos="567"/>
      </w:tabs>
      <w:spacing w:after="120" w:line="240" w:lineRule="auto"/>
      <w:ind w:left="567" w:hanging="567"/>
      <w:jc w:val="both"/>
    </w:pPr>
    <w:rPr>
      <w:rFonts w:ascii="Times New Roman" w:eastAsia="Times New Roman" w:hAnsi="Times New Roman" w:cs="Times New Roman"/>
      <w:sz w:val="24"/>
      <w:szCs w:val="20"/>
      <w:lang w:val="en-GB" w:eastAsia="en-GB"/>
    </w:rPr>
  </w:style>
  <w:style w:type="character" w:customStyle="1" w:styleId="ae">
    <w:name w:val="Основной текст с отступом Знак"/>
    <w:basedOn w:val="a0"/>
    <w:link w:val="ad"/>
    <w:rsid w:val="005B57B2"/>
    <w:rPr>
      <w:rFonts w:ascii="Times New Roman" w:eastAsia="Times New Roman" w:hAnsi="Times New Roman" w:cs="Times New Roman"/>
      <w:sz w:val="24"/>
      <w:szCs w:val="20"/>
      <w:lang w:val="en-GB" w:eastAsia="en-GB"/>
    </w:rPr>
  </w:style>
  <w:style w:type="paragraph" w:styleId="af">
    <w:name w:val="Body Text"/>
    <w:basedOn w:val="a"/>
    <w:link w:val="af0"/>
    <w:rsid w:val="005B57B2"/>
    <w:pPr>
      <w:spacing w:after="0" w:line="240" w:lineRule="auto"/>
    </w:pPr>
    <w:rPr>
      <w:rFonts w:ascii="Times New Roman" w:eastAsia="Times New Roman" w:hAnsi="Times New Roman" w:cs="Times New Roman"/>
      <w:sz w:val="24"/>
      <w:szCs w:val="20"/>
      <w:lang w:val="en-GB" w:eastAsia="en-GB"/>
    </w:rPr>
  </w:style>
  <w:style w:type="character" w:customStyle="1" w:styleId="af0">
    <w:name w:val="Основной текст Знак"/>
    <w:basedOn w:val="a0"/>
    <w:link w:val="af"/>
    <w:rsid w:val="005B57B2"/>
    <w:rPr>
      <w:rFonts w:ascii="Times New Roman" w:eastAsia="Times New Roman" w:hAnsi="Times New Roman" w:cs="Times New Roman"/>
      <w:sz w:val="24"/>
      <w:szCs w:val="20"/>
      <w:lang w:val="en-GB" w:eastAsia="en-GB"/>
    </w:rPr>
  </w:style>
  <w:style w:type="paragraph" w:styleId="21">
    <w:name w:val="Body Text 2"/>
    <w:basedOn w:val="a"/>
    <w:link w:val="22"/>
    <w:rsid w:val="005B57B2"/>
    <w:pPr>
      <w:tabs>
        <w:tab w:val="num" w:pos="567"/>
      </w:tabs>
      <w:spacing w:after="0" w:line="240" w:lineRule="auto"/>
      <w:jc w:val="both"/>
    </w:pPr>
    <w:rPr>
      <w:rFonts w:ascii="Times New Roman" w:eastAsia="Times New Roman" w:hAnsi="Times New Roman" w:cs="Times New Roman"/>
      <w:sz w:val="24"/>
      <w:szCs w:val="20"/>
      <w:lang w:val="en-GB" w:eastAsia="en-GB"/>
    </w:rPr>
  </w:style>
  <w:style w:type="character" w:customStyle="1" w:styleId="22">
    <w:name w:val="Основной текст 2 Знак"/>
    <w:basedOn w:val="a0"/>
    <w:link w:val="21"/>
    <w:rsid w:val="005B57B2"/>
    <w:rPr>
      <w:rFonts w:ascii="Times New Roman" w:eastAsia="Times New Roman" w:hAnsi="Times New Roman" w:cs="Times New Roman"/>
      <w:sz w:val="24"/>
      <w:szCs w:val="20"/>
      <w:lang w:val="en-GB" w:eastAsia="en-GB"/>
    </w:rPr>
  </w:style>
  <w:style w:type="character" w:styleId="af1">
    <w:name w:val="Strong"/>
    <w:qFormat/>
    <w:rsid w:val="005B57B2"/>
    <w:rPr>
      <w:b/>
    </w:rPr>
  </w:style>
  <w:style w:type="paragraph" w:customStyle="1" w:styleId="Style11ptJustifiedAfter12pt">
    <w:name w:val="Style 11 pt Justified After:  12 pt"/>
    <w:basedOn w:val="a"/>
    <w:link w:val="Style11ptJustifiedAfter12ptChar"/>
    <w:rsid w:val="005B57B2"/>
    <w:pPr>
      <w:spacing w:after="120" w:line="240" w:lineRule="auto"/>
      <w:jc w:val="both"/>
    </w:pPr>
    <w:rPr>
      <w:rFonts w:ascii="Times New Roman" w:eastAsia="Times New Roman" w:hAnsi="Times New Roman" w:cs="Times New Roman"/>
      <w:szCs w:val="20"/>
      <w:lang w:val="en-GB" w:eastAsia="en-GB"/>
    </w:rPr>
  </w:style>
  <w:style w:type="character" w:customStyle="1" w:styleId="Style11ptJustifiedAfter12ptChar">
    <w:name w:val="Style 11 pt Justified After:  12 pt Char"/>
    <w:link w:val="Style11ptJustifiedAfter12pt"/>
    <w:rsid w:val="005B57B2"/>
    <w:rPr>
      <w:rFonts w:ascii="Times New Roman" w:eastAsia="Times New Roman" w:hAnsi="Times New Roman" w:cs="Times New Roman"/>
      <w:szCs w:val="20"/>
      <w:lang w:val="en-GB" w:eastAsia="en-GB"/>
    </w:rPr>
  </w:style>
  <w:style w:type="character" w:customStyle="1" w:styleId="Style11pt">
    <w:name w:val="Style 11 pt"/>
    <w:rsid w:val="005B57B2"/>
    <w:rPr>
      <w:sz w:val="22"/>
    </w:rPr>
  </w:style>
  <w:style w:type="paragraph" w:styleId="af2">
    <w:name w:val="List Paragraph"/>
    <w:basedOn w:val="a"/>
    <w:uiPriority w:val="34"/>
    <w:qFormat/>
    <w:rsid w:val="0009561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c.europa.eu/europeaid/prag/document.do" TargetMode="External"/><Relationship Id="rId4" Type="http://schemas.openxmlformats.org/officeDocument/2006/relationships/settings" Target="settings.xml"/><Relationship Id="rId9" Type="http://schemas.openxmlformats.org/officeDocument/2006/relationships/hyperlink" Target="http://ec.europa.eu/europeaid/prag/document.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853B2-6DD2-4101-87B8-9FD19098E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2551</Words>
  <Characters>14543</Characters>
  <DocSecurity>0</DocSecurity>
  <Lines>121</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2018-01-24T08:29:00Z</cp:lastPrinted>
  <dcterms:created xsi:type="dcterms:W3CDTF">2018-04-25T11:37:00Z</dcterms:created>
  <dcterms:modified xsi:type="dcterms:W3CDTF">2018-04-25T17:26:00Z</dcterms:modified>
</cp:coreProperties>
</file>